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7F28" w14:textId="77777777" w:rsidR="009E1008" w:rsidRPr="009F3BBC" w:rsidRDefault="00000000">
      <w:pPr>
        <w:rPr>
          <w:rFonts w:ascii="Times New Roman" w:hAnsi="Times New Roman" w:cs="Times New Roman"/>
          <w:b/>
          <w:bCs/>
        </w:rPr>
      </w:pPr>
      <w:r w:rsidRPr="009F3BBC">
        <w:rPr>
          <w:rFonts w:ascii="Times New Roman" w:hAnsi="Times New Roman" w:cs="Times New Roman" w:hint="eastAsia"/>
          <w:b/>
          <w:bCs/>
        </w:rPr>
        <w:t>Supplementary Material 1: Methods</w:t>
      </w:r>
    </w:p>
    <w:p w14:paraId="0B18A565" w14:textId="77777777" w:rsidR="009E1008" w:rsidRDefault="00000000">
      <w:pPr>
        <w:rPr>
          <w:rFonts w:ascii="Times New Roman" w:hAnsi="Times New Roman" w:cs="Times New Roman"/>
          <w:b/>
          <w:bCs/>
        </w:rPr>
      </w:pPr>
      <w:r>
        <w:rPr>
          <w:rFonts w:ascii="Times New Roman" w:hAnsi="Times New Roman" w:cs="Times New Roman"/>
          <w:b/>
          <w:bCs/>
        </w:rPr>
        <w:t>Study Cohorts</w:t>
      </w:r>
    </w:p>
    <w:p w14:paraId="4B8DC020" w14:textId="77777777" w:rsidR="009E1008" w:rsidRDefault="00000000">
      <w:pPr>
        <w:rPr>
          <w:rFonts w:ascii="Times New Roman" w:hAnsi="Times New Roman" w:cs="Times New Roman"/>
          <w:b/>
          <w:bCs/>
        </w:rPr>
      </w:pPr>
      <w:r>
        <w:rPr>
          <w:rFonts w:ascii="Times New Roman" w:hAnsi="Times New Roman" w:cs="Times New Roman"/>
          <w:b/>
          <w:bCs/>
        </w:rPr>
        <w:t>Effective Sample Size (</w:t>
      </w:r>
      <w:proofErr w:type="spellStart"/>
      <w:r>
        <w:rPr>
          <w:rFonts w:ascii="Times New Roman" w:hAnsi="Times New Roman" w:cs="Times New Roman"/>
          <w:b/>
          <w:bCs/>
        </w:rPr>
        <w:t>N_eff</w:t>
      </w:r>
      <w:proofErr w:type="spellEnd"/>
      <w:r>
        <w:rPr>
          <w:rFonts w:ascii="Times New Roman" w:hAnsi="Times New Roman" w:cs="Times New Roman"/>
          <w:b/>
          <w:bCs/>
        </w:rPr>
        <w:t>)</w:t>
      </w:r>
    </w:p>
    <w:p w14:paraId="18105A74" w14:textId="77777777" w:rsidR="009E1008" w:rsidRDefault="00000000">
      <w:pPr>
        <w:rPr>
          <w:rFonts w:ascii="Times New Roman" w:hAnsi="Times New Roman" w:cs="Times New Roman"/>
        </w:rPr>
      </w:pPr>
      <w:r>
        <w:rPr>
          <w:rFonts w:ascii="Times New Roman" w:hAnsi="Times New Roman" w:cs="Times New Roman"/>
        </w:rPr>
        <w:t>The effective sample size (</w:t>
      </w:r>
      <w:proofErr w:type="spellStart"/>
      <w:r>
        <w:rPr>
          <w:rFonts w:ascii="Times New Roman" w:hAnsi="Times New Roman" w:cs="Times New Roman"/>
        </w:rPr>
        <w:t>N_eff</w:t>
      </w:r>
      <w:proofErr w:type="spellEnd"/>
      <w:r>
        <w:rPr>
          <w:rFonts w:ascii="Times New Roman" w:hAnsi="Times New Roman" w:cs="Times New Roman"/>
        </w:rPr>
        <w:t>), which represents the number of individuals required to create an equally powered study with a 1:1 case-control ratio, is defined as:</w:t>
      </w:r>
      <w:r>
        <w:rPr>
          <w:rFonts w:ascii="Times New Roman" w:hAnsi="Times New Roman" w:cs="Times New Roman" w:hint="eastAsia"/>
        </w:rPr>
        <w:t xml:space="preserve"> </w:t>
      </w:r>
      <w:proofErr w:type="spellStart"/>
      <w:r>
        <w:rPr>
          <w:rFonts w:ascii="Times New Roman" w:hAnsi="Times New Roman" w:cs="Times New Roman" w:hint="eastAsia"/>
        </w:rPr>
        <w:t>N_eff</w:t>
      </w:r>
      <w:proofErr w:type="spellEnd"/>
      <w:r>
        <w:rPr>
          <w:rFonts w:ascii="Times New Roman" w:hAnsi="Times New Roman" w:cs="Times New Roman" w:hint="eastAsia"/>
        </w:rPr>
        <w:t xml:space="preserve"> = </w:t>
      </w:r>
      <w:proofErr w:type="gramStart"/>
      <w:r>
        <w:rPr>
          <w:rFonts w:ascii="Times New Roman" w:hAnsi="Times New Roman" w:cs="Times New Roman" w:hint="eastAsia"/>
        </w:rPr>
        <w:t>4 / (</w:t>
      </w:r>
      <w:proofErr w:type="gramEnd"/>
      <w:r>
        <w:rPr>
          <w:rFonts w:ascii="Times New Roman" w:hAnsi="Times New Roman" w:cs="Times New Roman" w:hint="eastAsia"/>
        </w:rPr>
        <w:t xml:space="preserve">(1 / </w:t>
      </w:r>
      <w:proofErr w:type="spellStart"/>
      <w:r>
        <w:rPr>
          <w:rFonts w:ascii="Times New Roman" w:hAnsi="Times New Roman" w:cs="Times New Roman" w:hint="eastAsia"/>
        </w:rPr>
        <w:t>N_cases</w:t>
      </w:r>
      <w:proofErr w:type="spellEnd"/>
      <w:r>
        <w:rPr>
          <w:rFonts w:ascii="Times New Roman" w:hAnsi="Times New Roman" w:cs="Times New Roman" w:hint="eastAsia"/>
        </w:rPr>
        <w:t xml:space="preserve">) + (1 / </w:t>
      </w:r>
      <w:proofErr w:type="spellStart"/>
      <w:r>
        <w:rPr>
          <w:rFonts w:ascii="Times New Roman" w:hAnsi="Times New Roman" w:cs="Times New Roman" w:hint="eastAsia"/>
        </w:rPr>
        <w:t>N_controls</w:t>
      </w:r>
      <w:proofErr w:type="spellEnd"/>
      <w:r>
        <w:rPr>
          <w:rFonts w:ascii="Times New Roman" w:hAnsi="Times New Roman" w:cs="Times New Roman" w:hint="eastAsia"/>
        </w:rPr>
        <w:t>))</w:t>
      </w:r>
    </w:p>
    <w:p w14:paraId="466ACAEA" w14:textId="77777777" w:rsidR="009E1008" w:rsidRDefault="00000000">
      <w:pPr>
        <w:rPr>
          <w:rFonts w:ascii="Times New Roman" w:hAnsi="Times New Roman" w:cs="Times New Roman"/>
        </w:rPr>
      </w:pPr>
      <w:r>
        <w:rPr>
          <w:rFonts w:ascii="Times New Roman" w:hAnsi="Times New Roman" w:cs="Times New Roman"/>
        </w:rPr>
        <w:t>This metric allows for a more direct comparison of the power of each study to detect associations.</w:t>
      </w:r>
    </w:p>
    <w:p w14:paraId="09F74462" w14:textId="77777777" w:rsidR="009E1008" w:rsidRDefault="00000000">
      <w:pPr>
        <w:rPr>
          <w:rFonts w:ascii="Times New Roman" w:hAnsi="Times New Roman" w:cs="Times New Roman"/>
          <w:b/>
          <w:bCs/>
        </w:rPr>
      </w:pPr>
      <w:r>
        <w:rPr>
          <w:rFonts w:ascii="Times New Roman" w:hAnsi="Times New Roman" w:cs="Times New Roman"/>
          <w:b/>
          <w:bCs/>
        </w:rPr>
        <w:t>BMPR2 Mutations</w:t>
      </w:r>
    </w:p>
    <w:p w14:paraId="6E07211D" w14:textId="77777777" w:rsidR="009E1008" w:rsidRDefault="00000000">
      <w:pPr>
        <w:rPr>
          <w:rFonts w:ascii="Times New Roman" w:hAnsi="Times New Roman" w:cs="Times New Roman"/>
          <w:b/>
          <w:bCs/>
        </w:rPr>
      </w:pPr>
      <w:r>
        <w:rPr>
          <w:rFonts w:ascii="Times New Roman" w:hAnsi="Times New Roman" w:cs="Times New Roman"/>
        </w:rPr>
        <w:t xml:space="preserve">BMPR2 mutations were considered pathogenic if they had been classified as clearly or likely pathogenic variants. </w:t>
      </w:r>
    </w:p>
    <w:p w14:paraId="228E5A9C" w14:textId="77777777" w:rsidR="009E1008" w:rsidRDefault="009E1008">
      <w:pPr>
        <w:rPr>
          <w:rFonts w:ascii="Times New Roman" w:hAnsi="Times New Roman" w:cs="Times New Roman"/>
          <w:b/>
          <w:bCs/>
        </w:rPr>
      </w:pPr>
    </w:p>
    <w:p w14:paraId="4A36DCED" w14:textId="77777777" w:rsidR="009E1008" w:rsidRDefault="00000000">
      <w:pPr>
        <w:rPr>
          <w:rFonts w:ascii="Times New Roman" w:hAnsi="Times New Roman" w:cs="Times New Roman"/>
        </w:rPr>
      </w:pPr>
      <w:r>
        <w:rPr>
          <w:rFonts w:ascii="Times New Roman" w:hAnsi="Times New Roman" w:cs="Times New Roman"/>
          <w:b/>
          <w:bCs/>
        </w:rPr>
        <w:t xml:space="preserve">UK National Institute of Health Research </w:t>
      </w:r>
      <w:proofErr w:type="spellStart"/>
      <w:r>
        <w:rPr>
          <w:rFonts w:ascii="Times New Roman" w:hAnsi="Times New Roman" w:cs="Times New Roman"/>
          <w:b/>
          <w:bCs/>
        </w:rPr>
        <w:t>BioResource</w:t>
      </w:r>
      <w:proofErr w:type="spellEnd"/>
      <w:r>
        <w:rPr>
          <w:rFonts w:ascii="Times New Roman" w:hAnsi="Times New Roman" w:cs="Times New Roman"/>
          <w:b/>
          <w:bCs/>
        </w:rPr>
        <w:t xml:space="preserve"> (NIHRBR)</w:t>
      </w:r>
      <w:r>
        <w:rPr>
          <w:rFonts w:ascii="Times New Roman" w:hAnsi="Times New Roman" w:cs="Times New Roman"/>
        </w:rPr>
        <w:t xml:space="preserve"> for Rare Diseases study – PAH was defined by right heart catheterization measurements including mean pulmonary artery pressure (</w:t>
      </w:r>
      <w:proofErr w:type="spellStart"/>
      <w:r>
        <w:rPr>
          <w:rFonts w:ascii="Times New Roman" w:hAnsi="Times New Roman" w:cs="Times New Roman"/>
        </w:rPr>
        <w:t>mPAP</w:t>
      </w:r>
      <w:proofErr w:type="spellEnd"/>
      <w:r>
        <w:rPr>
          <w:rFonts w:ascii="Times New Roman" w:hAnsi="Times New Roman" w:cs="Times New Roman"/>
        </w:rPr>
        <w:t xml:space="preserve">) &gt; 25 mmHg, pulmonary capillary wedge pressure (PCWP) &lt; 15 mmHg, and pulmonary vascular resistance (PVR) &gt; 3 Woods Units. Eligible cases were recruited from the UK National Pulmonary Hypertension </w:t>
      </w:r>
      <w:proofErr w:type="spellStart"/>
      <w:r>
        <w:rPr>
          <w:rFonts w:ascii="Times New Roman" w:hAnsi="Times New Roman" w:cs="Times New Roman"/>
        </w:rPr>
        <w:t>Centres</w:t>
      </w:r>
      <w:proofErr w:type="spellEnd"/>
      <w:r>
        <w:rPr>
          <w:rFonts w:ascii="Times New Roman" w:hAnsi="Times New Roman" w:cs="Times New Roman"/>
        </w:rPr>
        <w:t xml:space="preserve">, as well as Université Sud Paris (France), the VU University Medical Center Amsterdam (The Netherlands), the Universities of </w:t>
      </w:r>
      <w:proofErr w:type="spellStart"/>
      <w:r>
        <w:rPr>
          <w:rFonts w:ascii="Times New Roman" w:hAnsi="Times New Roman" w:cs="Times New Roman"/>
        </w:rPr>
        <w:t>Gießen</w:t>
      </w:r>
      <w:proofErr w:type="spellEnd"/>
      <w:r>
        <w:rPr>
          <w:rFonts w:ascii="Times New Roman" w:hAnsi="Times New Roman" w:cs="Times New Roman"/>
        </w:rPr>
        <w:t xml:space="preserve"> and Marburg (Germany), and San Matteo Hospital, Pavia (Italy). Study recruitment was undertaken between 29 Jan 2003 and 4 Jan 2017, and patients were followed up to 24 Mar 2017. Patients with a family history or presence of known pathogenic mutations were included in the main analysis but excluded from sub-analyses. Cases were excluded if they were not able to provide written informed consent or were diagnosed with other forms of PAH. One patient withdrew from the study. Controls consisted of patients with other rare diseases from the NIHRBR rare disease study (more details of final numbers below).</w:t>
      </w:r>
    </w:p>
    <w:p w14:paraId="35C64A2A" w14:textId="77777777" w:rsidR="009E1008" w:rsidRDefault="009E1008">
      <w:pPr>
        <w:rPr>
          <w:rFonts w:ascii="Times New Roman" w:hAnsi="Times New Roman" w:cs="Times New Roman"/>
        </w:rPr>
      </w:pPr>
    </w:p>
    <w:p w14:paraId="1317ED79" w14:textId="77777777" w:rsidR="009E1008" w:rsidRDefault="00000000">
      <w:pPr>
        <w:rPr>
          <w:rFonts w:ascii="Times New Roman" w:hAnsi="Times New Roman" w:cs="Times New Roman"/>
        </w:rPr>
      </w:pPr>
      <w:r>
        <w:rPr>
          <w:rFonts w:ascii="Times New Roman" w:hAnsi="Times New Roman" w:cs="Times New Roman"/>
          <w:b/>
          <w:bCs/>
        </w:rPr>
        <w:t xml:space="preserve">US National Biological Sample and Data Repository for Pulmonary Arterial Hypertension/PAH Biobank (PAHB) study </w:t>
      </w:r>
      <w:r>
        <w:rPr>
          <w:rFonts w:ascii="Times New Roman" w:hAnsi="Times New Roman" w:cs="Times New Roman"/>
        </w:rPr>
        <w:t xml:space="preserve">– PAH was defined by right heart catheterization measurements including </w:t>
      </w:r>
      <w:proofErr w:type="spellStart"/>
      <w:r>
        <w:rPr>
          <w:rFonts w:ascii="Times New Roman" w:hAnsi="Times New Roman" w:cs="Times New Roman"/>
        </w:rPr>
        <w:t>mPAP</w:t>
      </w:r>
      <w:proofErr w:type="spellEnd"/>
      <w:r>
        <w:rPr>
          <w:rFonts w:ascii="Times New Roman" w:hAnsi="Times New Roman" w:cs="Times New Roman"/>
        </w:rPr>
        <w:t xml:space="preserve"> ≥ 25 mmHg, PCWP &lt; 18 mmHg, and PVR &gt; 2.5 Woods Units. Eligible cases were recruited from 29 pulmonary hypertension centers across the United States and enrolled as part of the National Biological Sample and Data Repository for Pulmonary Arterial Hypertension (PAH Biobank, www.pahbiobank.org) funded by the National Institutes of Health/National Heart Lung and Blood Institute (R24HL105333). PAH cases were recruited between October 3, 2012, to March 14, 2016. Controls were selected from the Vanderbilt Electronic Systems for Pharmacogenomic Assessment (VESPA) cohort ascertained at Vanderbilt University (VU). The VESPA project used </w:t>
      </w:r>
      <w:proofErr w:type="spellStart"/>
      <w:r>
        <w:rPr>
          <w:rFonts w:ascii="Times New Roman" w:hAnsi="Times New Roman" w:cs="Times New Roman"/>
        </w:rPr>
        <w:t>BioVU</w:t>
      </w:r>
      <w:proofErr w:type="spellEnd"/>
      <w:r>
        <w:rPr>
          <w:rFonts w:ascii="Times New Roman" w:hAnsi="Times New Roman" w:cs="Times New Roman"/>
        </w:rPr>
        <w:t xml:space="preserve">, VU’s large DNA repository coupled </w:t>
      </w:r>
      <w:proofErr w:type="gramStart"/>
      <w:r>
        <w:rPr>
          <w:rFonts w:ascii="Times New Roman" w:hAnsi="Times New Roman" w:cs="Times New Roman"/>
        </w:rPr>
        <w:t>to</w:t>
      </w:r>
      <w:proofErr w:type="gramEnd"/>
      <w:r>
        <w:rPr>
          <w:rFonts w:ascii="Times New Roman" w:hAnsi="Times New Roman" w:cs="Times New Roman"/>
        </w:rPr>
        <w:t xml:space="preserve"> de-identified data from electronic health records (EHRs), to investigate the genetic component of individual response to medications for 28 pharmacogenomic phenotypes unrelated to PAH, including angiotensin-converting enzyme (ACE) inhibitor-induced cough, vancomycin-induced kidney dysfunction, heparin-induced thrombocytopenia, and others.</w:t>
      </w:r>
      <w:r>
        <w:rPr>
          <w:rFonts w:ascii="Times New Roman" w:hAnsi="Times New Roman" w:cs="Times New Roman" w:hint="eastAsia"/>
        </w:rPr>
        <w:t xml:space="preserve"> </w:t>
      </w:r>
      <w:proofErr w:type="spellStart"/>
      <w:r>
        <w:rPr>
          <w:rFonts w:ascii="Times New Roman" w:hAnsi="Times New Roman" w:cs="Times New Roman"/>
        </w:rPr>
        <w:t>BioVU</w:t>
      </w:r>
      <w:proofErr w:type="spellEnd"/>
      <w:r>
        <w:rPr>
          <w:rFonts w:ascii="Times New Roman" w:hAnsi="Times New Roman" w:cs="Times New Roman"/>
        </w:rPr>
        <w:t xml:space="preserve"> was approved by the Institutional Review Board at Vanderbilt University as described previously. </w:t>
      </w:r>
      <w:proofErr w:type="spellStart"/>
      <w:r>
        <w:rPr>
          <w:rFonts w:ascii="Times New Roman" w:hAnsi="Times New Roman" w:cs="Times New Roman"/>
        </w:rPr>
        <w:t>BioVU</w:t>
      </w:r>
      <w:proofErr w:type="spellEnd"/>
      <w:r>
        <w:rPr>
          <w:rFonts w:ascii="Times New Roman" w:hAnsi="Times New Roman" w:cs="Times New Roman"/>
        </w:rPr>
        <w:t xml:space="preserve"> recruited using an opt-out model until January 2015, at which time an opt-in model was adopted. The complete VESPA project population includes 11,639 genotyped individuals from </w:t>
      </w:r>
      <w:proofErr w:type="spellStart"/>
      <w:r>
        <w:rPr>
          <w:rFonts w:ascii="Times New Roman" w:hAnsi="Times New Roman" w:cs="Times New Roman"/>
        </w:rPr>
        <w:t>BioVU</w:t>
      </w:r>
      <w:proofErr w:type="spellEnd"/>
      <w:r>
        <w:rPr>
          <w:rFonts w:ascii="Times New Roman" w:hAnsi="Times New Roman" w:cs="Times New Roman"/>
        </w:rPr>
        <w:t xml:space="preserve"> (84% Caucasian and 12% African American) with a median age of 61.6 years. Only samples of European descent that were genotyped on the Illumina® </w:t>
      </w:r>
      <w:proofErr w:type="spellStart"/>
      <w:r>
        <w:rPr>
          <w:rFonts w:ascii="Times New Roman" w:hAnsi="Times New Roman" w:cs="Times New Roman"/>
        </w:rPr>
        <w:t>OmniS</w:t>
      </w:r>
      <w:proofErr w:type="spellEnd"/>
      <w:r>
        <w:rPr>
          <w:rFonts w:ascii="Times New Roman" w:hAnsi="Times New Roman" w:cs="Times New Roman"/>
        </w:rPr>
        <w:t xml:space="preserve">-Quad </w:t>
      </w:r>
      <w:proofErr w:type="spellStart"/>
      <w:r>
        <w:rPr>
          <w:rFonts w:ascii="Times New Roman" w:hAnsi="Times New Roman" w:cs="Times New Roman"/>
        </w:rPr>
        <w:t>BeadChip</w:t>
      </w:r>
      <w:proofErr w:type="spellEnd"/>
      <w:r>
        <w:rPr>
          <w:rFonts w:ascii="Times New Roman" w:hAnsi="Times New Roman" w:cs="Times New Roman"/>
        </w:rPr>
        <w:t xml:space="preserve"> array were </w:t>
      </w:r>
      <w:r>
        <w:rPr>
          <w:rFonts w:ascii="Times New Roman" w:hAnsi="Times New Roman" w:cs="Times New Roman"/>
        </w:rPr>
        <w:lastRenderedPageBreak/>
        <w:t>included in the control population for this study (n=2,144). The controls include individuals with type 1 diabetes (n=251) and connective tissue diseases (n=56). 31 controls with a diagnosis of pulmonary hypertension were excluded. Combining cases with controls data (n=2,144), a total of 4,245 subjects were available for analysis.</w:t>
      </w:r>
    </w:p>
    <w:p w14:paraId="17FE07FC" w14:textId="77777777" w:rsidR="009E1008" w:rsidRDefault="009E1008">
      <w:pPr>
        <w:rPr>
          <w:rFonts w:ascii="Times New Roman" w:hAnsi="Times New Roman" w:cs="Times New Roman"/>
        </w:rPr>
      </w:pPr>
    </w:p>
    <w:p w14:paraId="07851DE6" w14:textId="77777777" w:rsidR="009E1008" w:rsidRDefault="00000000">
      <w:pPr>
        <w:rPr>
          <w:rFonts w:ascii="Times New Roman" w:hAnsi="Times New Roman" w:cs="Times New Roman"/>
        </w:rPr>
      </w:pPr>
      <w:r>
        <w:rPr>
          <w:rFonts w:ascii="Times New Roman" w:hAnsi="Times New Roman" w:cs="Times New Roman"/>
          <w:b/>
          <w:bCs/>
        </w:rPr>
        <w:t xml:space="preserve">Paris Pulmonary Hypertension Allele-Associated Risk cohort (PHAAR) study </w:t>
      </w:r>
      <w:r>
        <w:rPr>
          <w:rFonts w:ascii="Times New Roman" w:hAnsi="Times New Roman" w:cs="Times New Roman"/>
        </w:rPr>
        <w:t xml:space="preserve">– Diagnosis with PAH was defined by hemodynamic measurement during right-heart catheterization for all cases identified. By the French PAH Network between January 1, 2003, and April 1, 2010. For all cases, PAH was defined as an </w:t>
      </w:r>
      <w:proofErr w:type="spellStart"/>
      <w:r>
        <w:rPr>
          <w:rFonts w:ascii="Times New Roman" w:hAnsi="Times New Roman" w:cs="Times New Roman"/>
        </w:rPr>
        <w:t>mPAP</w:t>
      </w:r>
      <w:proofErr w:type="spellEnd"/>
      <w:r>
        <w:rPr>
          <w:rFonts w:ascii="Times New Roman" w:hAnsi="Times New Roman" w:cs="Times New Roman"/>
        </w:rPr>
        <w:t xml:space="preserve"> ≥ 25 mmHg associated with normal PCWP. Cases with known pathogenic mutations in BMPR2 or ACVRL1 were excluded. Further details have been published. The control group was composed of a random sample of 1,140 subjects who were free of any chronic disease from the 3C Study. The 3C Study is a population-based prospective cohort with a 4-year follow-up carried out in three French cities: Bordeaux (southwest France), Montpellier (southeast France), and Dijon (central eastern France).</w:t>
      </w:r>
    </w:p>
    <w:p w14:paraId="18D8C1BF" w14:textId="77777777" w:rsidR="009E1008" w:rsidRDefault="009E1008">
      <w:pPr>
        <w:rPr>
          <w:rFonts w:ascii="Times New Roman" w:hAnsi="Times New Roman" w:cs="Times New Roman"/>
        </w:rPr>
      </w:pPr>
    </w:p>
    <w:p w14:paraId="4E8D70E9" w14:textId="77777777" w:rsidR="009E1008" w:rsidRDefault="00000000">
      <w:pPr>
        <w:rPr>
          <w:rFonts w:ascii="Times New Roman" w:hAnsi="Times New Roman" w:cs="Times New Roman"/>
          <w:b/>
          <w:bCs/>
        </w:rPr>
      </w:pPr>
      <w:r>
        <w:rPr>
          <w:rFonts w:ascii="Times New Roman" w:hAnsi="Times New Roman" w:cs="Times New Roman"/>
          <w:b/>
          <w:bCs/>
        </w:rPr>
        <w:t>British Heart Foundation Pulmonary Arterial Hypertension GWAS (BHFPAH) study</w:t>
      </w:r>
    </w:p>
    <w:p w14:paraId="23318126" w14:textId="77777777" w:rsidR="009E1008" w:rsidRDefault="00000000">
      <w:pPr>
        <w:rPr>
          <w:rFonts w:ascii="Times New Roman" w:hAnsi="Times New Roman" w:cs="Times New Roman"/>
        </w:rPr>
      </w:pPr>
      <w:r>
        <w:rPr>
          <w:rFonts w:ascii="Times New Roman" w:hAnsi="Times New Roman" w:cs="Times New Roman"/>
        </w:rPr>
        <w:t xml:space="preserve">The BHFPAH cohort comprised IPAH patients recruited from the Pulmonary Hypertension Division at University Hospital Giessen or from specialist PAH centers in the UK, namely Royal Hallamshire Hospital Pulmonary Vascular Unit, Northern Pulmonary Vascular Unit – Freeman Hospital, Papworth Hospital NHS Foundation Trust, National Pulmonary Hypertension Service – Hammersmith Hospital, Royal Brompton and Harefield NHS Foundation Trust, and the Scottish Pulmonary Vascular Unit. Patients were recruited between December 3, 1998, and December 1, 2011, and all provided written informed consent to participate in the study. The BHFPAH control cohort was population-based, comprising individuals ascertained through the </w:t>
      </w:r>
      <w:proofErr w:type="spellStart"/>
      <w:r>
        <w:rPr>
          <w:rFonts w:ascii="Times New Roman" w:hAnsi="Times New Roman" w:cs="Times New Roman"/>
        </w:rPr>
        <w:t>Wellcome</w:t>
      </w:r>
      <w:proofErr w:type="spellEnd"/>
      <w:r>
        <w:rPr>
          <w:rFonts w:ascii="Times New Roman" w:hAnsi="Times New Roman" w:cs="Times New Roman"/>
        </w:rPr>
        <w:t xml:space="preserve"> Trust Case Control Consortium, UK, or recruited as part of the Food Chain Plus (</w:t>
      </w:r>
      <w:proofErr w:type="spellStart"/>
      <w:r>
        <w:rPr>
          <w:rFonts w:ascii="Times New Roman" w:hAnsi="Times New Roman" w:cs="Times New Roman"/>
        </w:rPr>
        <w:t>FoCus</w:t>
      </w:r>
      <w:proofErr w:type="spellEnd"/>
      <w:r>
        <w:rPr>
          <w:rFonts w:ascii="Times New Roman" w:hAnsi="Times New Roman" w:cs="Times New Roman"/>
        </w:rPr>
        <w:t xml:space="preserve">) cohort, Germany. Individuals in the </w:t>
      </w:r>
      <w:proofErr w:type="spellStart"/>
      <w:r>
        <w:rPr>
          <w:rFonts w:ascii="Times New Roman" w:hAnsi="Times New Roman" w:cs="Times New Roman"/>
        </w:rPr>
        <w:t>FoCus</w:t>
      </w:r>
      <w:proofErr w:type="spellEnd"/>
      <w:r>
        <w:rPr>
          <w:rFonts w:ascii="Times New Roman" w:hAnsi="Times New Roman" w:cs="Times New Roman"/>
        </w:rPr>
        <w:t xml:space="preserve"> cohort with BMI &gt; 30 were excluded. All IPAH cases and UK controls were genotyped at King’s College London on an Illumina </w:t>
      </w:r>
      <w:proofErr w:type="spellStart"/>
      <w:r>
        <w:rPr>
          <w:rFonts w:ascii="Times New Roman" w:hAnsi="Times New Roman" w:cs="Times New Roman"/>
        </w:rPr>
        <w:t>HiScan</w:t>
      </w:r>
      <w:proofErr w:type="spellEnd"/>
      <w:r>
        <w:rPr>
          <w:rFonts w:ascii="Times New Roman" w:hAnsi="Times New Roman" w:cs="Times New Roman"/>
        </w:rPr>
        <w:t xml:space="preserve"> system, while genotype data for the German controls were generated by </w:t>
      </w:r>
      <w:proofErr w:type="spellStart"/>
      <w:r>
        <w:rPr>
          <w:rFonts w:ascii="Times New Roman" w:hAnsi="Times New Roman" w:cs="Times New Roman"/>
        </w:rPr>
        <w:t>Popgen</w:t>
      </w:r>
      <w:proofErr w:type="spellEnd"/>
      <w:r>
        <w:rPr>
          <w:rFonts w:ascii="Times New Roman" w:hAnsi="Times New Roman" w:cs="Times New Roman"/>
        </w:rPr>
        <w:t>.</w:t>
      </w:r>
    </w:p>
    <w:p w14:paraId="3D3454DD" w14:textId="77777777" w:rsidR="009E1008" w:rsidRDefault="009E1008">
      <w:pPr>
        <w:rPr>
          <w:rFonts w:ascii="Times New Roman" w:hAnsi="Times New Roman" w:cs="Times New Roman"/>
        </w:rPr>
      </w:pPr>
    </w:p>
    <w:p w14:paraId="1BA875C2" w14:textId="77777777" w:rsidR="009E1008" w:rsidRDefault="00000000">
      <w:pPr>
        <w:rPr>
          <w:rFonts w:ascii="Times New Roman" w:hAnsi="Times New Roman" w:cs="Times New Roman"/>
        </w:rPr>
      </w:pPr>
      <w:r>
        <w:rPr>
          <w:rFonts w:ascii="Times New Roman" w:hAnsi="Times New Roman" w:cs="Times New Roman"/>
        </w:rPr>
        <w:t>All patients in all cohorts studied were consented using either NIHRBR study consent forms (UK Research Ethics Committee: 13/EE/0325), PAHB consent forms (R24HL105333), BHFPAH consent forms (08/H0802/32), or local tissue bank consent forms allowing genetic testing. The use of DNA from the PAHB controls for genetic studies has been approved by the Institutional Review Board at VU as described previously.</w:t>
      </w:r>
    </w:p>
    <w:p w14:paraId="28BA544B" w14:textId="77777777" w:rsidR="009E1008" w:rsidRDefault="009E1008">
      <w:pPr>
        <w:rPr>
          <w:rFonts w:ascii="Times New Roman" w:hAnsi="Times New Roman" w:cs="Times New Roman"/>
        </w:rPr>
      </w:pPr>
    </w:p>
    <w:p w14:paraId="0F40794C" w14:textId="77777777" w:rsidR="009E1008" w:rsidRDefault="00000000">
      <w:pPr>
        <w:rPr>
          <w:rFonts w:ascii="Times New Roman" w:hAnsi="Times New Roman" w:cs="Times New Roman"/>
        </w:rPr>
      </w:pPr>
      <w:proofErr w:type="spellStart"/>
      <w:r>
        <w:rPr>
          <w:rFonts w:ascii="Times New Roman" w:hAnsi="Times New Roman" w:cs="Times New Roman"/>
        </w:rPr>
        <w:t>Vasoresponders</w:t>
      </w:r>
      <w:proofErr w:type="spellEnd"/>
      <w:r>
        <w:rPr>
          <w:rFonts w:ascii="Times New Roman" w:hAnsi="Times New Roman" w:cs="Times New Roman"/>
        </w:rPr>
        <w:t xml:space="preserve"> are defined as patients who showed a significant drop in pulmonary artery pressure in response to acute vasodilator exposure at cardiac catheterization. These patients subsequently go on to show good clinical outcomes on calcium channel blocker vasodilator therapy.</w:t>
      </w:r>
    </w:p>
    <w:p w14:paraId="377A06FE" w14:textId="77777777" w:rsidR="009E1008" w:rsidRDefault="009E1008">
      <w:pPr>
        <w:rPr>
          <w:rFonts w:ascii="Times New Roman" w:hAnsi="Times New Roman" w:cs="Times New Roman"/>
        </w:rPr>
      </w:pPr>
    </w:p>
    <w:p w14:paraId="5F6B0275" w14:textId="77777777" w:rsidR="009E1008" w:rsidRDefault="00000000">
      <w:pPr>
        <w:rPr>
          <w:rFonts w:ascii="Times New Roman" w:hAnsi="Times New Roman" w:cs="Times New Roman"/>
        </w:rPr>
      </w:pPr>
      <w:r>
        <w:rPr>
          <w:rFonts w:ascii="Times New Roman" w:hAnsi="Times New Roman" w:cs="Times New Roman"/>
        </w:rPr>
        <w:t xml:space="preserve">The data collected within each study </w:t>
      </w:r>
      <w:proofErr w:type="gramStart"/>
      <w:r>
        <w:rPr>
          <w:rFonts w:ascii="Times New Roman" w:hAnsi="Times New Roman" w:cs="Times New Roman"/>
        </w:rPr>
        <w:t>were</w:t>
      </w:r>
      <w:proofErr w:type="gramEnd"/>
      <w:r>
        <w:rPr>
          <w:rFonts w:ascii="Times New Roman" w:hAnsi="Times New Roman" w:cs="Times New Roman"/>
        </w:rPr>
        <w:t xml:space="preserve"> gathered according to standard SOPs determined at the initiation of each study and monitored by a central site for each study.</w:t>
      </w:r>
    </w:p>
    <w:p w14:paraId="274A2796" w14:textId="77777777" w:rsidR="009E1008" w:rsidRDefault="009E1008">
      <w:pPr>
        <w:rPr>
          <w:rFonts w:ascii="Times New Roman" w:hAnsi="Times New Roman" w:cs="Times New Roman"/>
        </w:rPr>
      </w:pPr>
    </w:p>
    <w:p w14:paraId="62DD5A3D" w14:textId="77777777" w:rsidR="009E1008" w:rsidRDefault="00000000">
      <w:pPr>
        <w:rPr>
          <w:rFonts w:ascii="Times New Roman" w:hAnsi="Times New Roman" w:cs="Times New Roman"/>
          <w:b/>
          <w:bCs/>
        </w:rPr>
      </w:pPr>
      <w:r>
        <w:rPr>
          <w:rFonts w:ascii="Times New Roman" w:hAnsi="Times New Roman" w:cs="Times New Roman"/>
          <w:b/>
          <w:bCs/>
        </w:rPr>
        <w:t>Whole-genome DNA sequencing in NIHRBR study</w:t>
      </w:r>
    </w:p>
    <w:p w14:paraId="60DBD191" w14:textId="77777777" w:rsidR="009E1008" w:rsidRDefault="00000000">
      <w:pPr>
        <w:rPr>
          <w:rFonts w:ascii="Times New Roman" w:hAnsi="Times New Roman" w:cs="Times New Roman"/>
        </w:rPr>
      </w:pPr>
      <w:r>
        <w:rPr>
          <w:rFonts w:ascii="Times New Roman" w:hAnsi="Times New Roman" w:cs="Times New Roman"/>
        </w:rPr>
        <w:lastRenderedPageBreak/>
        <w:t xml:space="preserve">DNA extracted from venous blood underwent whole-genome sequencing using the Illumina </w:t>
      </w:r>
      <w:proofErr w:type="spellStart"/>
      <w:r>
        <w:rPr>
          <w:rFonts w:ascii="Times New Roman" w:hAnsi="Times New Roman" w:cs="Times New Roman"/>
        </w:rPr>
        <w:t>TruSeq</w:t>
      </w:r>
      <w:proofErr w:type="spellEnd"/>
      <w:r>
        <w:rPr>
          <w:rFonts w:ascii="Times New Roman" w:hAnsi="Times New Roman" w:cs="Times New Roman"/>
        </w:rPr>
        <w:t xml:space="preserve"> DNA PCR-Free Sample Preparation kit (Illumina Inc., San Diego, CA, USA) and Illumina </w:t>
      </w:r>
      <w:proofErr w:type="spellStart"/>
      <w:r>
        <w:rPr>
          <w:rFonts w:ascii="Times New Roman" w:hAnsi="Times New Roman" w:cs="Times New Roman"/>
        </w:rPr>
        <w:t>HiSeq</w:t>
      </w:r>
      <w:proofErr w:type="spellEnd"/>
      <w:r>
        <w:rPr>
          <w:rFonts w:ascii="Times New Roman" w:hAnsi="Times New Roman" w:cs="Times New Roman"/>
        </w:rPr>
        <w:t xml:space="preserve"> 2500 or </w:t>
      </w:r>
      <w:proofErr w:type="spellStart"/>
      <w:r>
        <w:rPr>
          <w:rFonts w:ascii="Times New Roman" w:hAnsi="Times New Roman" w:cs="Times New Roman"/>
        </w:rPr>
        <w:t>HiSeq</w:t>
      </w:r>
      <w:proofErr w:type="spellEnd"/>
      <w:r>
        <w:rPr>
          <w:rFonts w:ascii="Times New Roman" w:hAnsi="Times New Roman" w:cs="Times New Roman"/>
        </w:rPr>
        <w:t xml:space="preserve"> X sequencer, generating 100 - 150 bp reads with a minimum coverage of 15X for ~95% of the genome (mean coverage of 35X). Throughout the project, the read length chemistries used were 100 bp (n=357), then 125 bp (n=3074), and finally 150 bp (n=5586). Sequencing reads were pre-processed by Illumina with Isaac Aligner and Variant Caller (v2, Illumina Inc.) using human genome assembly GRCh37 as a reference. Variants were normalized and merged into a multi-sample VCF file using the </w:t>
      </w:r>
      <w:proofErr w:type="spellStart"/>
      <w:r>
        <w:rPr>
          <w:rFonts w:ascii="Times New Roman" w:hAnsi="Times New Roman" w:cs="Times New Roman"/>
        </w:rPr>
        <w:t>gvcf</w:t>
      </w:r>
      <w:proofErr w:type="spellEnd"/>
      <w:r>
        <w:rPr>
          <w:rFonts w:ascii="Times New Roman" w:hAnsi="Times New Roman" w:cs="Times New Roman"/>
        </w:rPr>
        <w:t xml:space="preserve"> aggregation tool ‘</w:t>
      </w:r>
      <w:proofErr w:type="spellStart"/>
      <w:r>
        <w:rPr>
          <w:rFonts w:ascii="Times New Roman" w:hAnsi="Times New Roman" w:cs="Times New Roman"/>
        </w:rPr>
        <w:t>agg</w:t>
      </w:r>
      <w:proofErr w:type="spellEnd"/>
      <w:r>
        <w:rPr>
          <w:rFonts w:ascii="Times New Roman" w:hAnsi="Times New Roman" w:cs="Times New Roman"/>
        </w:rPr>
        <w:t>’. Samples with potential handling errors (n=3) were excluded.</w:t>
      </w:r>
    </w:p>
    <w:p w14:paraId="6C0387BB" w14:textId="77777777" w:rsidR="009E1008" w:rsidRDefault="009E1008">
      <w:pPr>
        <w:rPr>
          <w:rFonts w:ascii="Times New Roman" w:hAnsi="Times New Roman" w:cs="Times New Roman"/>
        </w:rPr>
      </w:pPr>
    </w:p>
    <w:p w14:paraId="5E7B0BE4" w14:textId="77777777" w:rsidR="009E1008" w:rsidRDefault="00000000">
      <w:pPr>
        <w:rPr>
          <w:rFonts w:ascii="Times New Roman" w:hAnsi="Times New Roman" w:cs="Times New Roman"/>
          <w:b/>
          <w:bCs/>
        </w:rPr>
      </w:pPr>
      <w:r>
        <w:rPr>
          <w:rFonts w:ascii="Times New Roman" w:hAnsi="Times New Roman" w:cs="Times New Roman"/>
          <w:b/>
          <w:bCs/>
        </w:rPr>
        <w:t>Genotyping of PAHB patient cohort and controls</w:t>
      </w:r>
    </w:p>
    <w:p w14:paraId="31840684" w14:textId="77777777" w:rsidR="009E1008" w:rsidRDefault="00000000">
      <w:pPr>
        <w:rPr>
          <w:rFonts w:ascii="Times New Roman" w:hAnsi="Times New Roman" w:cs="Times New Roman"/>
        </w:rPr>
      </w:pPr>
      <w:r>
        <w:rPr>
          <w:rFonts w:ascii="Times New Roman" w:hAnsi="Times New Roman" w:cs="Times New Roman"/>
        </w:rPr>
        <w:t xml:space="preserve">DNA extracted from venous blood of both cases and controls was genotyped using the Illumina HumanOmni5 Bead Chip system (Illumina, San Diego, CA). Genomic DNA prepared at the PAH Biobank was used according to the manufacturer's manual protocol contained in Illumina’s Infinium LCG Quad Assay Protocol Guide. The </w:t>
      </w:r>
      <w:proofErr w:type="spellStart"/>
      <w:r>
        <w:rPr>
          <w:rFonts w:ascii="Times New Roman" w:hAnsi="Times New Roman" w:cs="Times New Roman"/>
        </w:rPr>
        <w:t>XStain</w:t>
      </w:r>
      <w:proofErr w:type="spellEnd"/>
      <w:r>
        <w:rPr>
          <w:rFonts w:ascii="Times New Roman" w:hAnsi="Times New Roman" w:cs="Times New Roman"/>
        </w:rPr>
        <w:t xml:space="preserve"> LCG </w:t>
      </w:r>
      <w:proofErr w:type="spellStart"/>
      <w:r>
        <w:rPr>
          <w:rFonts w:ascii="Times New Roman" w:hAnsi="Times New Roman" w:cs="Times New Roman"/>
        </w:rPr>
        <w:t>BeadChip</w:t>
      </w:r>
      <w:proofErr w:type="spellEnd"/>
      <w:r>
        <w:rPr>
          <w:rFonts w:ascii="Times New Roman" w:hAnsi="Times New Roman" w:cs="Times New Roman"/>
        </w:rPr>
        <w:t xml:space="preserve"> step of the protocol was performed on a Tecan Freedom Evo robot (Tecan, Switzerland), and completed </w:t>
      </w:r>
      <w:proofErr w:type="spellStart"/>
      <w:r>
        <w:rPr>
          <w:rFonts w:ascii="Times New Roman" w:hAnsi="Times New Roman" w:cs="Times New Roman"/>
        </w:rPr>
        <w:t>BeadChips</w:t>
      </w:r>
      <w:proofErr w:type="spellEnd"/>
      <w:r>
        <w:rPr>
          <w:rFonts w:ascii="Times New Roman" w:hAnsi="Times New Roman" w:cs="Times New Roman"/>
        </w:rPr>
        <w:t xml:space="preserve"> were scanned on an Illumina </w:t>
      </w:r>
      <w:proofErr w:type="spellStart"/>
      <w:r>
        <w:rPr>
          <w:rFonts w:ascii="Times New Roman" w:hAnsi="Times New Roman" w:cs="Times New Roman"/>
        </w:rPr>
        <w:t>iScan</w:t>
      </w:r>
      <w:proofErr w:type="spellEnd"/>
      <w:r>
        <w:rPr>
          <w:rFonts w:ascii="Times New Roman" w:hAnsi="Times New Roman" w:cs="Times New Roman"/>
        </w:rPr>
        <w:t xml:space="preserve"> system.</w:t>
      </w:r>
    </w:p>
    <w:p w14:paraId="30FAC3E1" w14:textId="77777777" w:rsidR="009E1008" w:rsidRDefault="009E1008">
      <w:pPr>
        <w:rPr>
          <w:rFonts w:ascii="Times New Roman" w:hAnsi="Times New Roman" w:cs="Times New Roman"/>
        </w:rPr>
      </w:pPr>
    </w:p>
    <w:p w14:paraId="1F3964FC" w14:textId="77777777" w:rsidR="009E1008" w:rsidRDefault="00000000">
      <w:pPr>
        <w:rPr>
          <w:rFonts w:ascii="Times New Roman" w:hAnsi="Times New Roman" w:cs="Times New Roman"/>
          <w:b/>
          <w:bCs/>
        </w:rPr>
      </w:pPr>
      <w:r>
        <w:rPr>
          <w:rFonts w:ascii="Times New Roman" w:hAnsi="Times New Roman" w:cs="Times New Roman"/>
          <w:b/>
          <w:bCs/>
        </w:rPr>
        <w:t>Sample QC in NIHRBR Study</w:t>
      </w:r>
    </w:p>
    <w:p w14:paraId="77E3CDA4" w14:textId="77777777" w:rsidR="009E1008" w:rsidRDefault="00000000">
      <w:pPr>
        <w:rPr>
          <w:rFonts w:ascii="Times New Roman" w:hAnsi="Times New Roman" w:cs="Times New Roman"/>
        </w:rPr>
      </w:pPr>
      <w:r>
        <w:rPr>
          <w:rFonts w:ascii="Times New Roman" w:hAnsi="Times New Roman" w:cs="Times New Roman"/>
        </w:rPr>
        <w:t>Female sex was defined by the log10-transformed YX coverage ratio being less than the mean plus three times the standard deviation in self-reported females (-1.027). Seven samples where sex and self-reported gender differed were excluded. Gender data were not available for 15 controls; these controls were also excluded.</w:t>
      </w:r>
    </w:p>
    <w:p w14:paraId="79551252" w14:textId="77777777" w:rsidR="009E1008" w:rsidRDefault="009E1008">
      <w:pPr>
        <w:rPr>
          <w:rFonts w:ascii="Times New Roman" w:hAnsi="Times New Roman" w:cs="Times New Roman"/>
        </w:rPr>
      </w:pPr>
    </w:p>
    <w:p w14:paraId="4FACDCD5" w14:textId="77777777" w:rsidR="009E1008" w:rsidRDefault="00000000">
      <w:pPr>
        <w:rPr>
          <w:rFonts w:ascii="Times New Roman" w:hAnsi="Times New Roman" w:cs="Times New Roman"/>
        </w:rPr>
      </w:pPr>
      <w:r>
        <w:rPr>
          <w:rFonts w:ascii="Times New Roman" w:hAnsi="Times New Roman" w:cs="Times New Roman"/>
        </w:rPr>
        <w:t>The ethnic origin of each participating individual was determined using a representative set of 35,114 autosomal SNPs with MAF &gt; 0.3 and no missing calls present on Illumina genotyping arrays. Briefly, principal components were calculated in 2,110 European, East and South Asian, and African samples from the 1000 Genomes Project and used to assign ethnicities to all 9,110 samples in the NIHRBR. Only individuals of European ancestry, as assigned from a mixture of multivariate Gaussian models, were considered for the discovery analysis (n=7,196). Additionally, 251 South Asian subjects, who represented the largest ethnic group after Europeans, were included for a trans-ethnic meta-analysis.</w:t>
      </w:r>
    </w:p>
    <w:p w14:paraId="35A0B9C3" w14:textId="77777777" w:rsidR="009E1008" w:rsidRDefault="009E1008">
      <w:pPr>
        <w:rPr>
          <w:rFonts w:ascii="Times New Roman" w:hAnsi="Times New Roman" w:cs="Times New Roman"/>
        </w:rPr>
      </w:pPr>
    </w:p>
    <w:p w14:paraId="72033445" w14:textId="77777777" w:rsidR="009E1008" w:rsidRDefault="00000000">
      <w:pPr>
        <w:rPr>
          <w:rFonts w:ascii="Times New Roman" w:hAnsi="Times New Roman" w:cs="Times New Roman"/>
        </w:rPr>
      </w:pPr>
      <w:r>
        <w:rPr>
          <w:rFonts w:ascii="Times New Roman" w:hAnsi="Times New Roman" w:cs="Times New Roman"/>
        </w:rPr>
        <w:t xml:space="preserve">Average heterozygosity and missingness were calculated for </w:t>
      </w:r>
      <w:proofErr w:type="gramStart"/>
      <w:r>
        <w:rPr>
          <w:rFonts w:ascii="Times New Roman" w:hAnsi="Times New Roman" w:cs="Times New Roman"/>
        </w:rPr>
        <w:t>each individual</w:t>
      </w:r>
      <w:proofErr w:type="gramEnd"/>
      <w:r>
        <w:rPr>
          <w:rFonts w:ascii="Times New Roman" w:hAnsi="Times New Roman" w:cs="Times New Roman"/>
        </w:rPr>
        <w:t xml:space="preserve"> within ethnic groups for all variants with MAF &gt; 0.05. Individuals with values exceeding three times the interquartile range from the </w:t>
      </w:r>
      <w:proofErr w:type="gramStart"/>
      <w:r>
        <w:rPr>
          <w:rFonts w:ascii="Times New Roman" w:hAnsi="Times New Roman" w:cs="Times New Roman"/>
        </w:rPr>
        <w:t>median</w:t>
      </w:r>
      <w:proofErr w:type="gramEnd"/>
      <w:r>
        <w:rPr>
          <w:rFonts w:ascii="Times New Roman" w:hAnsi="Times New Roman" w:cs="Times New Roman"/>
        </w:rPr>
        <w:t xml:space="preserve"> were excluded from the analysis (n=92).</w:t>
      </w:r>
    </w:p>
    <w:p w14:paraId="7FF93160" w14:textId="77777777" w:rsidR="009E1008" w:rsidRDefault="009E1008">
      <w:pPr>
        <w:rPr>
          <w:rFonts w:ascii="Times New Roman" w:hAnsi="Times New Roman" w:cs="Times New Roman"/>
        </w:rPr>
      </w:pPr>
    </w:p>
    <w:p w14:paraId="15E828E3" w14:textId="77777777" w:rsidR="009E1008" w:rsidRDefault="00000000">
      <w:pPr>
        <w:rPr>
          <w:rFonts w:ascii="Times New Roman" w:hAnsi="Times New Roman" w:cs="Times New Roman"/>
        </w:rPr>
      </w:pPr>
      <w:r>
        <w:rPr>
          <w:rFonts w:ascii="Times New Roman" w:hAnsi="Times New Roman" w:cs="Times New Roman"/>
        </w:rPr>
        <w:t>Relatedness was assessed using pi-hat scores calculated between all pairs of individuals (minimum pi-hat score in relatives: 0.094) based on the same SNPs used for ethnicity calculations and analyzed using the PC-Relate algorithm (GENESIS package, as previously described). Related individuals were grouped into family networks, and the most inter-connected and/or first-sequenced individuals in each family were removed sequentially until no further related individuals remained (n=1,209 excluded).</w:t>
      </w:r>
    </w:p>
    <w:p w14:paraId="06754D6E" w14:textId="77777777" w:rsidR="009E1008" w:rsidRDefault="009E1008">
      <w:pPr>
        <w:rPr>
          <w:rFonts w:ascii="Times New Roman" w:hAnsi="Times New Roman" w:cs="Times New Roman"/>
        </w:rPr>
      </w:pPr>
    </w:p>
    <w:p w14:paraId="5D283AF1" w14:textId="77777777" w:rsidR="009E1008" w:rsidRDefault="00000000">
      <w:pPr>
        <w:rPr>
          <w:rFonts w:ascii="Times New Roman" w:hAnsi="Times New Roman" w:cs="Times New Roman"/>
        </w:rPr>
      </w:pPr>
      <w:r>
        <w:rPr>
          <w:rFonts w:ascii="Times New Roman" w:hAnsi="Times New Roman" w:cs="Times New Roman"/>
        </w:rPr>
        <w:lastRenderedPageBreak/>
        <w:t>To account for remaining population structure, principal components were calculated for the European individuals included in the analysis using the same 35,114 variants.</w:t>
      </w:r>
    </w:p>
    <w:p w14:paraId="6B6A226A" w14:textId="77777777" w:rsidR="009E1008" w:rsidRDefault="009E1008">
      <w:pPr>
        <w:rPr>
          <w:rFonts w:ascii="Times New Roman" w:hAnsi="Times New Roman" w:cs="Times New Roman"/>
        </w:rPr>
      </w:pPr>
    </w:p>
    <w:p w14:paraId="61B727CE" w14:textId="77777777" w:rsidR="009E1008" w:rsidRDefault="00000000">
      <w:pPr>
        <w:rPr>
          <w:rFonts w:ascii="Times New Roman" w:hAnsi="Times New Roman" w:cs="Times New Roman"/>
        </w:rPr>
      </w:pPr>
      <w:r>
        <w:rPr>
          <w:rFonts w:ascii="Times New Roman" w:hAnsi="Times New Roman" w:cs="Times New Roman"/>
        </w:rPr>
        <w:t>In the UK discovery analysis, the final group consisted of 5,895 individuals, including:</w:t>
      </w:r>
    </w:p>
    <w:p w14:paraId="4A7EE7DF" w14:textId="77777777" w:rsidR="009E1008" w:rsidRDefault="009E1008">
      <w:pPr>
        <w:rPr>
          <w:rFonts w:ascii="Times New Roman" w:hAnsi="Times New Roman" w:cs="Times New Roman"/>
        </w:rPr>
      </w:pPr>
    </w:p>
    <w:p w14:paraId="01922E48" w14:textId="77777777" w:rsidR="009E1008" w:rsidRDefault="00000000">
      <w:pPr>
        <w:rPr>
          <w:rFonts w:ascii="Times New Roman" w:hAnsi="Times New Roman" w:cs="Times New Roman"/>
        </w:rPr>
      </w:pPr>
      <w:r>
        <w:rPr>
          <w:rFonts w:ascii="Times New Roman" w:hAnsi="Times New Roman" w:cs="Times New Roman"/>
        </w:rPr>
        <w:t>847 PAH patients</w:t>
      </w:r>
    </w:p>
    <w:p w14:paraId="60063295" w14:textId="77777777" w:rsidR="009E1008" w:rsidRDefault="00000000">
      <w:pPr>
        <w:rPr>
          <w:rFonts w:ascii="Times New Roman" w:hAnsi="Times New Roman" w:cs="Times New Roman"/>
        </w:rPr>
      </w:pPr>
      <w:r>
        <w:rPr>
          <w:rFonts w:ascii="Times New Roman" w:hAnsi="Times New Roman" w:cs="Times New Roman"/>
        </w:rPr>
        <w:t>Recruits to Genomics England Ltd (GEL, n=1,102, 21.8% of non-PAH)</w:t>
      </w:r>
    </w:p>
    <w:p w14:paraId="68CF6155" w14:textId="77777777" w:rsidR="009E1008" w:rsidRDefault="00000000">
      <w:pPr>
        <w:rPr>
          <w:rFonts w:ascii="Times New Roman" w:hAnsi="Times New Roman" w:cs="Times New Roman"/>
        </w:rPr>
      </w:pPr>
      <w:r>
        <w:rPr>
          <w:rFonts w:ascii="Times New Roman" w:hAnsi="Times New Roman" w:cs="Times New Roman"/>
        </w:rPr>
        <w:t>Individuals with bleeding, thrombotic, and platelet disorders (BPD, n=834, 16.5%)</w:t>
      </w:r>
    </w:p>
    <w:p w14:paraId="76D5F210" w14:textId="77777777" w:rsidR="009E1008" w:rsidRDefault="00000000">
      <w:pPr>
        <w:rPr>
          <w:rFonts w:ascii="Times New Roman" w:hAnsi="Times New Roman" w:cs="Times New Roman"/>
        </w:rPr>
      </w:pPr>
      <w:r>
        <w:rPr>
          <w:rFonts w:ascii="Times New Roman" w:hAnsi="Times New Roman" w:cs="Times New Roman"/>
        </w:rPr>
        <w:t>Primary immune disorders (PID, n=802, 15.9%)</w:t>
      </w:r>
    </w:p>
    <w:p w14:paraId="08B43724" w14:textId="77777777" w:rsidR="009E1008" w:rsidRDefault="00000000">
      <w:pPr>
        <w:rPr>
          <w:rFonts w:ascii="Times New Roman" w:hAnsi="Times New Roman" w:cs="Times New Roman"/>
        </w:rPr>
      </w:pPr>
      <w:r>
        <w:rPr>
          <w:rFonts w:ascii="Times New Roman" w:hAnsi="Times New Roman" w:cs="Times New Roman"/>
        </w:rPr>
        <w:t>Retinal dystrophies/</w:t>
      </w:r>
      <w:proofErr w:type="spellStart"/>
      <w:r>
        <w:rPr>
          <w:rFonts w:ascii="Times New Roman" w:hAnsi="Times New Roman" w:cs="Times New Roman"/>
        </w:rPr>
        <w:t>paediatric</w:t>
      </w:r>
      <w:proofErr w:type="spellEnd"/>
      <w:r>
        <w:rPr>
          <w:rFonts w:ascii="Times New Roman" w:hAnsi="Times New Roman" w:cs="Times New Roman"/>
        </w:rPr>
        <w:t xml:space="preserve"> neurology and metabolic disease (SPEED, n=774, 15.3%)</w:t>
      </w:r>
    </w:p>
    <w:p w14:paraId="04B42624" w14:textId="77777777" w:rsidR="009E1008" w:rsidRDefault="00000000">
      <w:pPr>
        <w:rPr>
          <w:rFonts w:ascii="Times New Roman" w:hAnsi="Times New Roman" w:cs="Times New Roman"/>
        </w:rPr>
      </w:pPr>
      <w:r>
        <w:rPr>
          <w:rFonts w:ascii="Times New Roman" w:hAnsi="Times New Roman" w:cs="Times New Roman"/>
        </w:rPr>
        <w:t>Multiple primary tumors (MPMT, n=472, 9.4%)</w:t>
      </w:r>
    </w:p>
    <w:p w14:paraId="0E27E030" w14:textId="77777777" w:rsidR="009E1008" w:rsidRDefault="00000000">
      <w:pPr>
        <w:rPr>
          <w:rFonts w:ascii="Times New Roman" w:hAnsi="Times New Roman" w:cs="Times New Roman"/>
        </w:rPr>
      </w:pPr>
      <w:r>
        <w:rPr>
          <w:rFonts w:ascii="Times New Roman" w:hAnsi="Times New Roman" w:cs="Times New Roman"/>
        </w:rPr>
        <w:t>Hypertrophic cardiomyopathy (HCM, n=202, 4.0%)</w:t>
      </w:r>
    </w:p>
    <w:p w14:paraId="2AD05241" w14:textId="77777777" w:rsidR="009E1008" w:rsidRDefault="00000000">
      <w:pPr>
        <w:rPr>
          <w:rFonts w:ascii="Times New Roman" w:hAnsi="Times New Roman" w:cs="Times New Roman"/>
        </w:rPr>
      </w:pPr>
      <w:r>
        <w:rPr>
          <w:rFonts w:ascii="Times New Roman" w:hAnsi="Times New Roman" w:cs="Times New Roman"/>
        </w:rPr>
        <w:t>Intrahepatic cholestasis of pregnancy (ICP, n=184, 3.7%)</w:t>
      </w:r>
    </w:p>
    <w:p w14:paraId="14F03FAA" w14:textId="77777777" w:rsidR="009E1008" w:rsidRDefault="00000000">
      <w:pPr>
        <w:rPr>
          <w:rFonts w:ascii="Times New Roman" w:hAnsi="Times New Roman" w:cs="Times New Roman"/>
        </w:rPr>
      </w:pPr>
      <w:r>
        <w:rPr>
          <w:rFonts w:ascii="Times New Roman" w:hAnsi="Times New Roman" w:cs="Times New Roman"/>
        </w:rPr>
        <w:t>Steroid-resistant nephrotic syndrome (SRNS, n=154, 3.1%)</w:t>
      </w:r>
    </w:p>
    <w:p w14:paraId="5FC70B23" w14:textId="77777777" w:rsidR="009E1008" w:rsidRDefault="00000000">
      <w:pPr>
        <w:rPr>
          <w:rFonts w:ascii="Times New Roman" w:hAnsi="Times New Roman" w:cs="Times New Roman"/>
        </w:rPr>
      </w:pPr>
      <w:r>
        <w:rPr>
          <w:rFonts w:ascii="Times New Roman" w:hAnsi="Times New Roman" w:cs="Times New Roman"/>
        </w:rPr>
        <w:t>Primary membranoproliferative glomerulonephritis (PMG, n=133, 2.6%)</w:t>
      </w:r>
    </w:p>
    <w:p w14:paraId="72032843" w14:textId="77777777" w:rsidR="009E1008" w:rsidRDefault="00000000">
      <w:pPr>
        <w:rPr>
          <w:rFonts w:ascii="Times New Roman" w:hAnsi="Times New Roman" w:cs="Times New Roman"/>
        </w:rPr>
      </w:pPr>
      <w:r>
        <w:rPr>
          <w:rFonts w:ascii="Times New Roman" w:hAnsi="Times New Roman" w:cs="Times New Roman"/>
        </w:rPr>
        <w:t>Cerebral small vessel disease (CSVD, n=126, 2.5%)</w:t>
      </w:r>
    </w:p>
    <w:p w14:paraId="7E2C776A" w14:textId="77777777" w:rsidR="009E1008" w:rsidRDefault="00000000">
      <w:pPr>
        <w:rPr>
          <w:rFonts w:ascii="Times New Roman" w:hAnsi="Times New Roman" w:cs="Times New Roman"/>
        </w:rPr>
      </w:pPr>
      <w:r>
        <w:rPr>
          <w:rFonts w:ascii="Times New Roman" w:hAnsi="Times New Roman" w:cs="Times New Roman"/>
        </w:rPr>
        <w:t>Neuropathic pain disorder (NPD, n=117, 2.3%)</w:t>
      </w:r>
    </w:p>
    <w:p w14:paraId="0AEE1F10" w14:textId="77777777" w:rsidR="009E1008" w:rsidRDefault="00000000">
      <w:pPr>
        <w:rPr>
          <w:rFonts w:ascii="Times New Roman" w:hAnsi="Times New Roman" w:cs="Times New Roman"/>
        </w:rPr>
      </w:pPr>
      <w:r>
        <w:rPr>
          <w:rFonts w:ascii="Times New Roman" w:hAnsi="Times New Roman" w:cs="Times New Roman"/>
        </w:rPr>
        <w:t>Stem cell and myeloid disorder (SMD, n=79, 1.6%)</w:t>
      </w:r>
    </w:p>
    <w:p w14:paraId="6C2A5E89" w14:textId="77777777" w:rsidR="009E1008" w:rsidRDefault="00000000">
      <w:pPr>
        <w:rPr>
          <w:rFonts w:ascii="Times New Roman" w:hAnsi="Times New Roman" w:cs="Times New Roman"/>
        </w:rPr>
      </w:pPr>
      <w:r>
        <w:rPr>
          <w:rFonts w:ascii="Times New Roman" w:hAnsi="Times New Roman" w:cs="Times New Roman"/>
        </w:rPr>
        <w:t>Leber hereditary optic neuropathy (LHON, n=53, 1.1%)</w:t>
      </w:r>
    </w:p>
    <w:p w14:paraId="307990AD" w14:textId="77777777" w:rsidR="009E1008" w:rsidRDefault="00000000">
      <w:pPr>
        <w:rPr>
          <w:rFonts w:ascii="Times New Roman" w:hAnsi="Times New Roman" w:cs="Times New Roman"/>
        </w:rPr>
      </w:pPr>
      <w:r>
        <w:rPr>
          <w:rFonts w:ascii="Times New Roman" w:hAnsi="Times New Roman" w:cs="Times New Roman"/>
        </w:rPr>
        <w:t>Ehlers-Danlos syndrome (EDS, n=11, 0.2%)</w:t>
      </w:r>
    </w:p>
    <w:p w14:paraId="42B00DB2" w14:textId="77777777" w:rsidR="009E1008" w:rsidRDefault="00000000">
      <w:pPr>
        <w:rPr>
          <w:rFonts w:ascii="Times New Roman" w:hAnsi="Times New Roman" w:cs="Times New Roman"/>
        </w:rPr>
      </w:pPr>
      <w:r>
        <w:rPr>
          <w:rFonts w:ascii="Times New Roman" w:hAnsi="Times New Roman" w:cs="Times New Roman"/>
        </w:rPr>
        <w:t>Others (CNTRL, n=5, 0.1%)</w:t>
      </w:r>
    </w:p>
    <w:p w14:paraId="770A3F20" w14:textId="77777777" w:rsidR="009E1008" w:rsidRDefault="00000000">
      <w:pPr>
        <w:rPr>
          <w:rFonts w:ascii="Times New Roman" w:hAnsi="Times New Roman" w:cs="Times New Roman"/>
        </w:rPr>
      </w:pPr>
      <w:r>
        <w:rPr>
          <w:rFonts w:ascii="Times New Roman" w:hAnsi="Times New Roman" w:cs="Times New Roman"/>
        </w:rPr>
        <w:t>or their first-degree relatives.</w:t>
      </w:r>
    </w:p>
    <w:p w14:paraId="5F24AA2E" w14:textId="77777777" w:rsidR="009E1008" w:rsidRDefault="009E1008">
      <w:pPr>
        <w:rPr>
          <w:rFonts w:ascii="Times New Roman" w:hAnsi="Times New Roman" w:cs="Times New Roman"/>
        </w:rPr>
      </w:pPr>
    </w:p>
    <w:p w14:paraId="1CA194C8" w14:textId="77777777" w:rsidR="009E1008" w:rsidRDefault="00000000">
      <w:pPr>
        <w:rPr>
          <w:rFonts w:ascii="Times New Roman" w:hAnsi="Times New Roman" w:cs="Times New Roman"/>
          <w:b/>
          <w:bCs/>
        </w:rPr>
      </w:pPr>
      <w:r>
        <w:rPr>
          <w:rFonts w:ascii="Times New Roman" w:hAnsi="Times New Roman" w:cs="Times New Roman"/>
          <w:b/>
          <w:bCs/>
        </w:rPr>
        <w:t>Sample QC in PAHB Study</w:t>
      </w:r>
    </w:p>
    <w:p w14:paraId="7DD58FF9" w14:textId="77777777" w:rsidR="009E1008" w:rsidRDefault="00000000">
      <w:pPr>
        <w:rPr>
          <w:rFonts w:ascii="Times New Roman" w:hAnsi="Times New Roman" w:cs="Times New Roman"/>
        </w:rPr>
      </w:pPr>
      <w:r>
        <w:rPr>
          <w:rFonts w:ascii="Times New Roman" w:hAnsi="Times New Roman" w:cs="Times New Roman"/>
        </w:rPr>
        <w:t xml:space="preserve">For PAH Biobank cases, raw data, call rates, and quality scores were visualized using Illumina </w:t>
      </w:r>
      <w:proofErr w:type="spellStart"/>
      <w:r>
        <w:rPr>
          <w:rFonts w:ascii="Times New Roman" w:hAnsi="Times New Roman" w:cs="Times New Roman"/>
        </w:rPr>
        <w:t>GenomeStudio</w:t>
      </w:r>
      <w:proofErr w:type="spellEnd"/>
      <w:r>
        <w:rPr>
          <w:rFonts w:ascii="Times New Roman" w:hAnsi="Times New Roman" w:cs="Times New Roman"/>
        </w:rPr>
        <w:t xml:space="preserve">. Patient samples with low genotyping rates (&lt;95%) and gender discordance between clinical and genomic data (n=8) were excluded from the final genotyping call. SNPs with call frequency &lt;97%, cluster separation &lt;0.45, AA R, AB R, and BB R mean &lt;0.2, 10% </w:t>
      </w:r>
      <w:proofErr w:type="spellStart"/>
      <w:r>
        <w:rPr>
          <w:rFonts w:ascii="Times New Roman" w:hAnsi="Times New Roman" w:cs="Times New Roman"/>
        </w:rPr>
        <w:t>GenCall</w:t>
      </w:r>
      <w:proofErr w:type="spellEnd"/>
      <w:r>
        <w:rPr>
          <w:rFonts w:ascii="Times New Roman" w:hAnsi="Times New Roman" w:cs="Times New Roman"/>
        </w:rPr>
        <w:t xml:space="preserve"> score &lt;0.3, Het Excess &gt;0.2, A/B frequency &gt;0.5, and AB T mean &lt;0.15 or &gt;0.85 were removed. For controls, genotype calling was performed at Vanderbilt University (VU). A total of 2,101 PAH cases were successfully genotyped. Control genotype data </w:t>
      </w:r>
      <w:proofErr w:type="gramStart"/>
      <w:r>
        <w:rPr>
          <w:rFonts w:ascii="Times New Roman" w:hAnsi="Times New Roman" w:cs="Times New Roman"/>
        </w:rPr>
        <w:t>were</w:t>
      </w:r>
      <w:proofErr w:type="gramEnd"/>
      <w:r>
        <w:rPr>
          <w:rFonts w:ascii="Times New Roman" w:hAnsi="Times New Roman" w:cs="Times New Roman"/>
        </w:rPr>
        <w:t xml:space="preserve"> cleaned using the quality control pipeline developed by the </w:t>
      </w:r>
      <w:proofErr w:type="spellStart"/>
      <w:r>
        <w:rPr>
          <w:rFonts w:ascii="Times New Roman" w:hAnsi="Times New Roman" w:cs="Times New Roman"/>
        </w:rPr>
        <w:t>eMERGE</w:t>
      </w:r>
      <w:proofErr w:type="spellEnd"/>
      <w:r>
        <w:rPr>
          <w:rFonts w:ascii="Times New Roman" w:hAnsi="Times New Roman" w:cs="Times New Roman"/>
        </w:rPr>
        <w:t xml:space="preserve"> Genomics Working Group.</w:t>
      </w:r>
    </w:p>
    <w:p w14:paraId="05014310" w14:textId="77777777" w:rsidR="009E1008" w:rsidRDefault="009E1008">
      <w:pPr>
        <w:rPr>
          <w:rFonts w:ascii="Times New Roman" w:hAnsi="Times New Roman" w:cs="Times New Roman"/>
        </w:rPr>
      </w:pPr>
    </w:p>
    <w:p w14:paraId="1C767D2E" w14:textId="77777777" w:rsidR="009E1008" w:rsidRDefault="00000000">
      <w:pPr>
        <w:rPr>
          <w:rFonts w:ascii="Times New Roman" w:hAnsi="Times New Roman" w:cs="Times New Roman"/>
          <w:b/>
          <w:bCs/>
        </w:rPr>
      </w:pPr>
      <w:r>
        <w:rPr>
          <w:rFonts w:ascii="Times New Roman" w:hAnsi="Times New Roman" w:cs="Times New Roman"/>
          <w:b/>
          <w:bCs/>
        </w:rPr>
        <w:t>For each dataset, we excluded samples with:</w:t>
      </w:r>
      <w:r>
        <w:rPr>
          <w:rFonts w:ascii="Times New Roman" w:hAnsi="Times New Roman" w:cs="Times New Roman" w:hint="eastAsia"/>
          <w:b/>
          <w:bCs/>
        </w:rPr>
        <w:t xml:space="preserve"> </w:t>
      </w:r>
      <w:r>
        <w:rPr>
          <w:rFonts w:ascii="Times New Roman" w:hAnsi="Times New Roman" w:cs="Times New Roman"/>
          <w:b/>
          <w:bCs/>
        </w:rPr>
        <w:t>A high degree of relatedness.</w:t>
      </w:r>
      <w:r>
        <w:rPr>
          <w:rFonts w:ascii="Times New Roman" w:hAnsi="Times New Roman" w:cs="Times New Roman" w:hint="eastAsia"/>
          <w:b/>
          <w:bCs/>
        </w:rPr>
        <w:t xml:space="preserve"> </w:t>
      </w:r>
      <w:r>
        <w:rPr>
          <w:rFonts w:ascii="Times New Roman" w:hAnsi="Times New Roman" w:cs="Times New Roman"/>
          <w:b/>
          <w:bCs/>
        </w:rPr>
        <w:t>Race/ethnic discordance between recorded clinical and genomic data.</w:t>
      </w:r>
      <w:r>
        <w:rPr>
          <w:rFonts w:ascii="Times New Roman" w:hAnsi="Times New Roman" w:cs="Times New Roman" w:hint="eastAsia"/>
          <w:b/>
          <w:bCs/>
        </w:rPr>
        <w:t xml:space="preserve"> </w:t>
      </w:r>
      <w:r>
        <w:rPr>
          <w:rFonts w:ascii="Times New Roman" w:hAnsi="Times New Roman" w:cs="Times New Roman"/>
          <w:b/>
          <w:bCs/>
        </w:rPr>
        <w:t>Identity-By-Descent (IBD-pairwise) analysis was performed to identify potentially related or duplicated samples. After removing individuals who self-identified as non-Hispanic European ancestry, genomic ancestry was assessed using data from the 1000 Genomes Project, including individuals of European, East and South Asian, and African ancestry through principal component analysis. A total of 200,448 independent, common SNPs were included in the principal component analysis. Individuals who did not cluster with 1000 Genomes Project European populations were removed.</w:t>
      </w:r>
    </w:p>
    <w:p w14:paraId="08AD0250" w14:textId="77777777" w:rsidR="009E1008" w:rsidRDefault="009E1008">
      <w:pPr>
        <w:rPr>
          <w:rFonts w:ascii="Times New Roman" w:hAnsi="Times New Roman" w:cs="Times New Roman"/>
        </w:rPr>
      </w:pPr>
    </w:p>
    <w:p w14:paraId="703E7E2B" w14:textId="77777777" w:rsidR="009E1008" w:rsidRDefault="00000000">
      <w:pPr>
        <w:rPr>
          <w:rFonts w:ascii="Times New Roman" w:hAnsi="Times New Roman" w:cs="Times New Roman"/>
          <w:b/>
          <w:bCs/>
        </w:rPr>
      </w:pPr>
      <w:r>
        <w:rPr>
          <w:rFonts w:ascii="Times New Roman" w:hAnsi="Times New Roman" w:cs="Times New Roman"/>
          <w:b/>
          <w:bCs/>
        </w:rPr>
        <w:t>Imputation in PAH Study</w:t>
      </w:r>
    </w:p>
    <w:p w14:paraId="287B1FEC" w14:textId="77777777" w:rsidR="009E1008" w:rsidRDefault="00000000">
      <w:pPr>
        <w:rPr>
          <w:rFonts w:ascii="Times New Roman" w:hAnsi="Times New Roman" w:cs="Times New Roman"/>
        </w:rPr>
      </w:pPr>
      <w:r>
        <w:rPr>
          <w:rFonts w:ascii="Times New Roman" w:hAnsi="Times New Roman" w:cs="Times New Roman"/>
        </w:rPr>
        <w:lastRenderedPageBreak/>
        <w:t>The 1,740,956 successfully genotyped SNPs were included for imputation. Imputation was performed using the Michigan Imputation Server. After removing duplicated SNPs, SNPs with ambiguous alleles, and correcting strand orientation, VCF files were uploaded to their server. Phasing of genotype data was conducted using Eagle version 2.3. Imputation was performed using the Minimac3 algorithm and the Haplotype Reference Consortium panel.</w:t>
      </w:r>
    </w:p>
    <w:p w14:paraId="16847495" w14:textId="77777777" w:rsidR="009E1008" w:rsidRDefault="009E1008">
      <w:pPr>
        <w:rPr>
          <w:rFonts w:ascii="Times New Roman" w:hAnsi="Times New Roman" w:cs="Times New Roman"/>
        </w:rPr>
      </w:pPr>
    </w:p>
    <w:p w14:paraId="7279356B" w14:textId="77777777" w:rsidR="009E1008" w:rsidRDefault="00000000">
      <w:pPr>
        <w:rPr>
          <w:rFonts w:ascii="Times New Roman" w:hAnsi="Times New Roman" w:cs="Times New Roman"/>
        </w:rPr>
      </w:pPr>
      <w:r>
        <w:rPr>
          <w:rFonts w:ascii="Times New Roman" w:hAnsi="Times New Roman" w:cs="Times New Roman"/>
        </w:rPr>
        <w:t>After imputation, a total of 39,148,816 SNPs were obtained. However, 31,421,226 SNPs were excluded due to insufficient quality control metrics and low frequency, including:</w:t>
      </w:r>
    </w:p>
    <w:p w14:paraId="2F033A0A" w14:textId="77777777" w:rsidR="009E1008" w:rsidRDefault="009E1008">
      <w:pPr>
        <w:rPr>
          <w:rFonts w:ascii="Times New Roman" w:hAnsi="Times New Roman" w:cs="Times New Roman"/>
        </w:rPr>
      </w:pPr>
    </w:p>
    <w:p w14:paraId="29D66854" w14:textId="77777777" w:rsidR="009E1008" w:rsidRDefault="00000000">
      <w:pPr>
        <w:rPr>
          <w:rFonts w:ascii="Times New Roman" w:hAnsi="Times New Roman" w:cs="Times New Roman"/>
        </w:rPr>
      </w:pPr>
      <w:r>
        <w:rPr>
          <w:rFonts w:ascii="Times New Roman" w:hAnsi="Times New Roman" w:cs="Times New Roman"/>
        </w:rPr>
        <w:t>Poor imputation quality (</w:t>
      </w:r>
      <w:proofErr w:type="spellStart"/>
      <w:r>
        <w:rPr>
          <w:rFonts w:ascii="Times New Roman" w:hAnsi="Times New Roman" w:cs="Times New Roman"/>
        </w:rPr>
        <w:t>Rsq</w:t>
      </w:r>
      <w:proofErr w:type="spellEnd"/>
      <w:r>
        <w:rPr>
          <w:rFonts w:ascii="Times New Roman" w:hAnsi="Times New Roman" w:cs="Times New Roman"/>
        </w:rPr>
        <w:t xml:space="preserve"> &lt; 0.3)</w:t>
      </w:r>
    </w:p>
    <w:p w14:paraId="216D1810" w14:textId="77777777" w:rsidR="009E1008" w:rsidRDefault="00000000">
      <w:pPr>
        <w:rPr>
          <w:rFonts w:ascii="Times New Roman" w:hAnsi="Times New Roman" w:cs="Times New Roman"/>
        </w:rPr>
      </w:pPr>
      <w:r>
        <w:rPr>
          <w:rFonts w:ascii="Times New Roman" w:hAnsi="Times New Roman" w:cs="Times New Roman"/>
        </w:rPr>
        <w:t>MAF ≤ 1%</w:t>
      </w:r>
    </w:p>
    <w:p w14:paraId="7140E478" w14:textId="77777777" w:rsidR="009E1008" w:rsidRDefault="00000000">
      <w:pPr>
        <w:rPr>
          <w:rFonts w:ascii="Times New Roman" w:hAnsi="Times New Roman" w:cs="Times New Roman"/>
        </w:rPr>
      </w:pPr>
      <w:r>
        <w:rPr>
          <w:rFonts w:ascii="Times New Roman" w:hAnsi="Times New Roman" w:cs="Times New Roman"/>
        </w:rPr>
        <w:t>Hardy-Weinberg Equilibrium P-value &lt; 0.00001</w:t>
      </w:r>
    </w:p>
    <w:p w14:paraId="6189B472" w14:textId="77777777" w:rsidR="009E1008" w:rsidRDefault="00000000">
      <w:pPr>
        <w:rPr>
          <w:rFonts w:ascii="Times New Roman" w:hAnsi="Times New Roman" w:cs="Times New Roman"/>
        </w:rPr>
      </w:pPr>
      <w:r>
        <w:rPr>
          <w:rFonts w:ascii="Times New Roman" w:hAnsi="Times New Roman" w:cs="Times New Roman"/>
        </w:rPr>
        <w:t>A total of 7,727,590 SNPs were retained for statistical analysis.</w:t>
      </w:r>
    </w:p>
    <w:p w14:paraId="7ADC6622" w14:textId="77777777" w:rsidR="009E1008" w:rsidRDefault="009E1008">
      <w:pPr>
        <w:rPr>
          <w:rFonts w:ascii="Times New Roman" w:hAnsi="Times New Roman" w:cs="Times New Roman"/>
        </w:rPr>
      </w:pPr>
    </w:p>
    <w:p w14:paraId="744715B1" w14:textId="77777777" w:rsidR="009E1008" w:rsidRDefault="00000000">
      <w:pPr>
        <w:rPr>
          <w:rFonts w:ascii="Times New Roman" w:hAnsi="Times New Roman" w:cs="Times New Roman"/>
          <w:b/>
          <w:bCs/>
        </w:rPr>
      </w:pPr>
      <w:r>
        <w:rPr>
          <w:rFonts w:ascii="Times New Roman" w:hAnsi="Times New Roman" w:cs="Times New Roman"/>
          <w:b/>
          <w:bCs/>
        </w:rPr>
        <w:t>QC in BHFPAH Study</w:t>
      </w:r>
    </w:p>
    <w:p w14:paraId="66182481" w14:textId="77777777" w:rsidR="009E1008" w:rsidRDefault="00000000">
      <w:pPr>
        <w:rPr>
          <w:rFonts w:ascii="Times New Roman" w:hAnsi="Times New Roman" w:cs="Times New Roman"/>
          <w:b/>
          <w:bCs/>
        </w:rPr>
      </w:pPr>
      <w:r>
        <w:rPr>
          <w:rFonts w:ascii="Times New Roman" w:hAnsi="Times New Roman" w:cs="Times New Roman"/>
          <w:b/>
          <w:bCs/>
        </w:rPr>
        <w:t>To ensure the replication cohort was independent of the samples used for GWAS discovery, the complete BHFPAH and NIHR-BR datasets were compared using identity-by-descent (IBD) analysis in PLINK, and related samples were removed from the BHFPAH cohort.</w:t>
      </w:r>
    </w:p>
    <w:p w14:paraId="473D56C8" w14:textId="77777777" w:rsidR="009E1008" w:rsidRDefault="009E1008">
      <w:pPr>
        <w:rPr>
          <w:rFonts w:ascii="Times New Roman" w:hAnsi="Times New Roman" w:cs="Times New Roman"/>
        </w:rPr>
      </w:pPr>
    </w:p>
    <w:p w14:paraId="17372268" w14:textId="77777777" w:rsidR="009E1008" w:rsidRDefault="00000000">
      <w:pPr>
        <w:rPr>
          <w:rFonts w:ascii="Times New Roman" w:hAnsi="Times New Roman" w:cs="Times New Roman"/>
        </w:rPr>
      </w:pPr>
      <w:r>
        <w:rPr>
          <w:rFonts w:ascii="Times New Roman" w:hAnsi="Times New Roman" w:cs="Times New Roman"/>
        </w:rPr>
        <w:t>Standard GWAS quality control (QC) was performed on this subsample. Variant QC included:</w:t>
      </w:r>
    </w:p>
    <w:p w14:paraId="392FAAE7" w14:textId="77777777" w:rsidR="009E1008" w:rsidRDefault="009E1008">
      <w:pPr>
        <w:rPr>
          <w:rFonts w:ascii="Times New Roman" w:hAnsi="Times New Roman" w:cs="Times New Roman"/>
        </w:rPr>
      </w:pPr>
    </w:p>
    <w:p w14:paraId="74BC1F74" w14:textId="77777777" w:rsidR="009E1008" w:rsidRDefault="00000000">
      <w:pPr>
        <w:rPr>
          <w:rFonts w:ascii="Times New Roman" w:hAnsi="Times New Roman" w:cs="Times New Roman"/>
        </w:rPr>
      </w:pPr>
      <w:r>
        <w:rPr>
          <w:rFonts w:ascii="Times New Roman" w:hAnsi="Times New Roman" w:cs="Times New Roman"/>
        </w:rPr>
        <w:t>Selection of autosomes only</w:t>
      </w:r>
    </w:p>
    <w:p w14:paraId="700FA68A" w14:textId="77777777" w:rsidR="009E1008" w:rsidRDefault="00000000">
      <w:pPr>
        <w:rPr>
          <w:rFonts w:ascii="Times New Roman" w:hAnsi="Times New Roman" w:cs="Times New Roman"/>
        </w:rPr>
      </w:pPr>
      <w:r>
        <w:rPr>
          <w:rFonts w:ascii="Times New Roman" w:hAnsi="Times New Roman" w:cs="Times New Roman"/>
        </w:rPr>
        <w:t>Exclusion of duplicate and ambiguous variants</w:t>
      </w:r>
    </w:p>
    <w:p w14:paraId="2374F0A6" w14:textId="77777777" w:rsidR="009E1008" w:rsidRDefault="00000000">
      <w:pPr>
        <w:rPr>
          <w:rFonts w:ascii="Times New Roman" w:hAnsi="Times New Roman" w:cs="Times New Roman"/>
        </w:rPr>
      </w:pPr>
      <w:r>
        <w:rPr>
          <w:rFonts w:ascii="Times New Roman" w:hAnsi="Times New Roman" w:cs="Times New Roman"/>
        </w:rPr>
        <w:t>Alignment to the forward strand (merged with 1000 Genomes)</w:t>
      </w:r>
    </w:p>
    <w:p w14:paraId="5840D52A" w14:textId="77777777" w:rsidR="009E1008" w:rsidRDefault="00000000">
      <w:pPr>
        <w:rPr>
          <w:rFonts w:ascii="Times New Roman" w:hAnsi="Times New Roman" w:cs="Times New Roman"/>
        </w:rPr>
      </w:pPr>
      <w:r>
        <w:rPr>
          <w:rFonts w:ascii="Times New Roman" w:hAnsi="Times New Roman" w:cs="Times New Roman"/>
        </w:rPr>
        <w:t>Exclusion of variants with excess missingness (&gt;0.05)</w:t>
      </w:r>
    </w:p>
    <w:p w14:paraId="4A3E8353" w14:textId="77777777" w:rsidR="009E1008" w:rsidRDefault="00000000">
      <w:pPr>
        <w:rPr>
          <w:rFonts w:ascii="Times New Roman" w:hAnsi="Times New Roman" w:cs="Times New Roman"/>
        </w:rPr>
      </w:pPr>
      <w:r>
        <w:rPr>
          <w:rFonts w:ascii="Times New Roman" w:hAnsi="Times New Roman" w:cs="Times New Roman"/>
        </w:rPr>
        <w:t>Exclusion of variants with significant differences in call rate between cases and controls</w:t>
      </w:r>
    </w:p>
    <w:p w14:paraId="5B40E38A" w14:textId="77777777" w:rsidR="009E1008" w:rsidRDefault="00000000">
      <w:pPr>
        <w:rPr>
          <w:rFonts w:ascii="Times New Roman" w:hAnsi="Times New Roman" w:cs="Times New Roman"/>
        </w:rPr>
      </w:pPr>
      <w:r>
        <w:rPr>
          <w:rFonts w:ascii="Times New Roman" w:hAnsi="Times New Roman" w:cs="Times New Roman"/>
        </w:rPr>
        <w:t>Exclusion of rare variants (MAF &lt; 0.01)</w:t>
      </w:r>
    </w:p>
    <w:p w14:paraId="6365FD8C" w14:textId="77777777" w:rsidR="009E1008" w:rsidRDefault="00000000">
      <w:pPr>
        <w:rPr>
          <w:rFonts w:ascii="Times New Roman" w:hAnsi="Times New Roman" w:cs="Times New Roman"/>
        </w:rPr>
      </w:pPr>
      <w:r>
        <w:rPr>
          <w:rFonts w:ascii="Times New Roman" w:hAnsi="Times New Roman" w:cs="Times New Roman"/>
        </w:rPr>
        <w:t>Exclusion of variants with significant Hardy-Weinberg Equilibrium (HWE) deviation (p &lt; 1×10⁻⁵ in controls)</w:t>
      </w:r>
    </w:p>
    <w:p w14:paraId="5ABCCA96" w14:textId="77777777" w:rsidR="009E1008" w:rsidRDefault="00000000">
      <w:pPr>
        <w:rPr>
          <w:rFonts w:ascii="Times New Roman" w:hAnsi="Times New Roman" w:cs="Times New Roman"/>
        </w:rPr>
      </w:pPr>
      <w:r>
        <w:rPr>
          <w:rFonts w:ascii="Times New Roman" w:hAnsi="Times New Roman" w:cs="Times New Roman"/>
        </w:rPr>
        <w:t>Sample QC included:</w:t>
      </w:r>
    </w:p>
    <w:p w14:paraId="17B4B775" w14:textId="77777777" w:rsidR="009E1008" w:rsidRDefault="009E1008">
      <w:pPr>
        <w:rPr>
          <w:rFonts w:ascii="Times New Roman" w:hAnsi="Times New Roman" w:cs="Times New Roman"/>
        </w:rPr>
      </w:pPr>
    </w:p>
    <w:p w14:paraId="0AEECA9D" w14:textId="77777777" w:rsidR="009E1008" w:rsidRDefault="00000000">
      <w:pPr>
        <w:rPr>
          <w:rFonts w:ascii="Times New Roman" w:hAnsi="Times New Roman" w:cs="Times New Roman"/>
        </w:rPr>
      </w:pPr>
      <w:r>
        <w:rPr>
          <w:rFonts w:ascii="Times New Roman" w:hAnsi="Times New Roman" w:cs="Times New Roman"/>
        </w:rPr>
        <w:t>Exclusion of heterozygosity outliers (&gt;3 SD)</w:t>
      </w:r>
    </w:p>
    <w:p w14:paraId="05DFAAFA" w14:textId="77777777" w:rsidR="009E1008" w:rsidRDefault="00000000">
      <w:pPr>
        <w:rPr>
          <w:rFonts w:ascii="Times New Roman" w:hAnsi="Times New Roman" w:cs="Times New Roman"/>
        </w:rPr>
      </w:pPr>
      <w:r>
        <w:rPr>
          <w:rFonts w:ascii="Times New Roman" w:hAnsi="Times New Roman" w:cs="Times New Roman"/>
        </w:rPr>
        <w:t>Removal of duplicated/related individuals (IBD &gt; 0.1875)</w:t>
      </w:r>
    </w:p>
    <w:p w14:paraId="70AEE64D" w14:textId="77777777" w:rsidR="009E1008" w:rsidRDefault="00000000">
      <w:pPr>
        <w:rPr>
          <w:rFonts w:ascii="Times New Roman" w:hAnsi="Times New Roman" w:cs="Times New Roman"/>
        </w:rPr>
      </w:pPr>
      <w:r>
        <w:rPr>
          <w:rFonts w:ascii="Times New Roman" w:hAnsi="Times New Roman" w:cs="Times New Roman"/>
        </w:rPr>
        <w:t>Filtering of reported and genotyped sex mismatches</w:t>
      </w:r>
    </w:p>
    <w:p w14:paraId="00C5FBA2" w14:textId="77777777" w:rsidR="009E1008" w:rsidRDefault="00000000">
      <w:pPr>
        <w:rPr>
          <w:rFonts w:ascii="Times New Roman" w:hAnsi="Times New Roman" w:cs="Times New Roman"/>
        </w:rPr>
      </w:pPr>
      <w:r>
        <w:rPr>
          <w:rFonts w:ascii="Times New Roman" w:hAnsi="Times New Roman" w:cs="Times New Roman"/>
        </w:rPr>
        <w:t>Exclusion of population PCA outliers</w:t>
      </w:r>
    </w:p>
    <w:p w14:paraId="46531971" w14:textId="77777777" w:rsidR="009E1008" w:rsidRDefault="00000000">
      <w:pPr>
        <w:rPr>
          <w:rFonts w:ascii="Times New Roman" w:hAnsi="Times New Roman" w:cs="Times New Roman"/>
        </w:rPr>
      </w:pPr>
      <w:r>
        <w:rPr>
          <w:rFonts w:ascii="Times New Roman" w:hAnsi="Times New Roman" w:cs="Times New Roman"/>
        </w:rPr>
        <w:t>The final cohort used for analysis comprised:</w:t>
      </w:r>
    </w:p>
    <w:p w14:paraId="7D03E89A" w14:textId="77777777" w:rsidR="009E1008" w:rsidRDefault="009E1008">
      <w:pPr>
        <w:rPr>
          <w:rFonts w:ascii="Times New Roman" w:hAnsi="Times New Roman" w:cs="Times New Roman"/>
        </w:rPr>
      </w:pPr>
    </w:p>
    <w:p w14:paraId="19FF5E79" w14:textId="77777777" w:rsidR="009E1008" w:rsidRDefault="00000000">
      <w:pPr>
        <w:rPr>
          <w:rFonts w:ascii="Times New Roman" w:hAnsi="Times New Roman" w:cs="Times New Roman"/>
        </w:rPr>
      </w:pPr>
      <w:r>
        <w:rPr>
          <w:rFonts w:ascii="Times New Roman" w:hAnsi="Times New Roman" w:cs="Times New Roman"/>
        </w:rPr>
        <w:t>275 cases (n=136 German, n=139 UK)</w:t>
      </w:r>
    </w:p>
    <w:p w14:paraId="74D80B9D" w14:textId="77777777" w:rsidR="009E1008" w:rsidRDefault="00000000">
      <w:pPr>
        <w:rPr>
          <w:rFonts w:ascii="Times New Roman" w:hAnsi="Times New Roman" w:cs="Times New Roman"/>
        </w:rPr>
      </w:pPr>
      <w:r>
        <w:rPr>
          <w:rFonts w:ascii="Times New Roman" w:hAnsi="Times New Roman" w:cs="Times New Roman"/>
        </w:rPr>
        <w:t>1,983 controls (n=509 German FOCUS sample, n=1,474 UK)</w:t>
      </w:r>
    </w:p>
    <w:p w14:paraId="1F428710" w14:textId="77777777" w:rsidR="009E1008" w:rsidRDefault="00000000">
      <w:pPr>
        <w:rPr>
          <w:rFonts w:ascii="Times New Roman" w:hAnsi="Times New Roman" w:cs="Times New Roman"/>
        </w:rPr>
      </w:pPr>
      <w:r>
        <w:rPr>
          <w:rFonts w:ascii="Times New Roman" w:hAnsi="Times New Roman" w:cs="Times New Roman"/>
        </w:rPr>
        <w:t>Post-QC, genotypes were imputed to 1000 Genomes Phase 3 Version 5 using the Michigan Imputation Server. After imputation, SNPs were filtered based on minor allele frequency (MAF ≥ 0.01)</w:t>
      </w:r>
    </w:p>
    <w:p w14:paraId="5644428F" w14:textId="77777777" w:rsidR="009E1008" w:rsidRDefault="009E1008">
      <w:pPr>
        <w:rPr>
          <w:rFonts w:ascii="Times New Roman" w:hAnsi="Times New Roman" w:cs="Times New Roman"/>
        </w:rPr>
      </w:pPr>
    </w:p>
    <w:p w14:paraId="13BA484F" w14:textId="77777777" w:rsidR="009E1008" w:rsidRDefault="00000000">
      <w:pPr>
        <w:rPr>
          <w:rFonts w:ascii="Times New Roman" w:hAnsi="Times New Roman" w:cs="Times New Roman"/>
          <w:b/>
          <w:bCs/>
        </w:rPr>
      </w:pPr>
      <w:r>
        <w:rPr>
          <w:rFonts w:ascii="Times New Roman" w:hAnsi="Times New Roman" w:cs="Times New Roman"/>
          <w:b/>
          <w:bCs/>
        </w:rPr>
        <w:t>Imputation Accuracy and Association Analyses</w:t>
      </w:r>
    </w:p>
    <w:p w14:paraId="6C74C8CD" w14:textId="77777777" w:rsidR="009E1008" w:rsidRDefault="00000000">
      <w:pPr>
        <w:rPr>
          <w:rFonts w:ascii="Times New Roman" w:hAnsi="Times New Roman" w:cs="Times New Roman"/>
        </w:rPr>
      </w:pPr>
      <w:r>
        <w:rPr>
          <w:rFonts w:ascii="Times New Roman" w:hAnsi="Times New Roman" w:cs="Times New Roman"/>
        </w:rPr>
        <w:lastRenderedPageBreak/>
        <w:t>Imputation accuracy (INFO/R² ≥ 0.7). Logistic regression association analyses were run in *PLINK*, with the first 10 principal components of the genotype data.</w:t>
      </w:r>
    </w:p>
    <w:p w14:paraId="574852F6" w14:textId="77777777" w:rsidR="009E1008" w:rsidRDefault="009E1008">
      <w:pPr>
        <w:rPr>
          <w:rFonts w:ascii="Times New Roman" w:hAnsi="Times New Roman" w:cs="Times New Roman"/>
        </w:rPr>
      </w:pPr>
    </w:p>
    <w:p w14:paraId="0CA39631" w14:textId="77777777" w:rsidR="009E1008" w:rsidRDefault="00000000">
      <w:pPr>
        <w:rPr>
          <w:rFonts w:ascii="Times New Roman" w:hAnsi="Times New Roman" w:cs="Times New Roman"/>
          <w:b/>
          <w:bCs/>
        </w:rPr>
      </w:pPr>
      <w:r>
        <w:rPr>
          <w:rFonts w:ascii="Times New Roman" w:hAnsi="Times New Roman" w:cs="Times New Roman"/>
          <w:b/>
          <w:bCs/>
        </w:rPr>
        <w:t xml:space="preserve">Sensitivity Analyses  </w:t>
      </w:r>
    </w:p>
    <w:p w14:paraId="7AC57BB6" w14:textId="77777777" w:rsidR="009E1008" w:rsidRDefault="00000000">
      <w:pPr>
        <w:rPr>
          <w:rFonts w:ascii="Times New Roman" w:hAnsi="Times New Roman" w:cs="Times New Roman"/>
        </w:rPr>
      </w:pPr>
      <w:r>
        <w:rPr>
          <w:rFonts w:ascii="Times New Roman" w:hAnsi="Times New Roman" w:cs="Times New Roman"/>
        </w:rPr>
        <w:t xml:space="preserve">Sensitivity analyses excluding:  </w:t>
      </w:r>
    </w:p>
    <w:p w14:paraId="0527F1E0" w14:textId="77777777" w:rsidR="009E1008" w:rsidRDefault="00000000">
      <w:pPr>
        <w:rPr>
          <w:rFonts w:ascii="Times New Roman" w:hAnsi="Times New Roman" w:cs="Times New Roman"/>
        </w:rPr>
      </w:pPr>
      <w:r>
        <w:rPr>
          <w:rFonts w:ascii="Times New Roman" w:hAnsi="Times New Roman" w:cs="Times New Roman"/>
        </w:rPr>
        <w:t xml:space="preserve">1) Cases with rare clearly pathogenic or likely pathogenic *BMPR2* variants.  </w:t>
      </w:r>
    </w:p>
    <w:p w14:paraId="6876E27C" w14:textId="77777777" w:rsidR="009E1008" w:rsidRDefault="00000000">
      <w:pPr>
        <w:rPr>
          <w:rFonts w:ascii="Times New Roman" w:hAnsi="Times New Roman" w:cs="Times New Roman"/>
        </w:rPr>
      </w:pPr>
      <w:r>
        <w:rPr>
          <w:rFonts w:ascii="Times New Roman" w:hAnsi="Times New Roman" w:cs="Times New Roman"/>
        </w:rPr>
        <w:t xml:space="preserve">2) Each of the disease control groups in the *NIHRBR* (rare diseases) and *PAHB* data.  </w:t>
      </w:r>
    </w:p>
    <w:p w14:paraId="33DB8D28" w14:textId="77777777" w:rsidR="009E1008" w:rsidRDefault="009E1008">
      <w:pPr>
        <w:rPr>
          <w:rFonts w:ascii="Times New Roman" w:hAnsi="Times New Roman" w:cs="Times New Roman"/>
        </w:rPr>
      </w:pPr>
    </w:p>
    <w:p w14:paraId="08C316C5" w14:textId="77777777" w:rsidR="009E1008" w:rsidRDefault="00000000">
      <w:pPr>
        <w:rPr>
          <w:rFonts w:ascii="Times New Roman" w:hAnsi="Times New Roman" w:cs="Times New Roman"/>
        </w:rPr>
      </w:pPr>
      <w:r>
        <w:rPr>
          <w:rFonts w:ascii="Times New Roman" w:hAnsi="Times New Roman" w:cs="Times New Roman"/>
        </w:rPr>
        <w:t>These analyses were performed to evaluate the influence of these subgroups on the stability of observed effects.</w:t>
      </w:r>
    </w:p>
    <w:p w14:paraId="3F4D31DF" w14:textId="77777777" w:rsidR="009E1008" w:rsidRDefault="009E1008">
      <w:pPr>
        <w:rPr>
          <w:rFonts w:ascii="Times New Roman" w:hAnsi="Times New Roman" w:cs="Times New Roman"/>
        </w:rPr>
      </w:pPr>
    </w:p>
    <w:p w14:paraId="0F7F1B98" w14:textId="77777777" w:rsidR="009E1008" w:rsidRDefault="00000000">
      <w:pPr>
        <w:rPr>
          <w:rFonts w:ascii="Times New Roman" w:hAnsi="Times New Roman" w:cs="Times New Roman"/>
          <w:b/>
          <w:bCs/>
        </w:rPr>
      </w:pPr>
      <w:r>
        <w:rPr>
          <w:rFonts w:ascii="Times New Roman" w:hAnsi="Times New Roman" w:cs="Times New Roman"/>
          <w:b/>
          <w:bCs/>
        </w:rPr>
        <w:t>Credible Set Analysis</w:t>
      </w:r>
    </w:p>
    <w:p w14:paraId="1A52590F" w14:textId="77777777" w:rsidR="009E1008" w:rsidRDefault="00000000">
      <w:pPr>
        <w:rPr>
          <w:rFonts w:ascii="Times New Roman" w:hAnsi="Times New Roman" w:cs="Times New Roman"/>
        </w:rPr>
      </w:pPr>
      <w:r>
        <w:rPr>
          <w:rFonts w:ascii="Times New Roman" w:hAnsi="Times New Roman" w:cs="Times New Roman"/>
        </w:rPr>
        <w:t xml:space="preserve">We applied credible set </w:t>
      </w:r>
      <w:proofErr w:type="gramStart"/>
      <w:r>
        <w:rPr>
          <w:rFonts w:ascii="Times New Roman" w:hAnsi="Times New Roman" w:cs="Times New Roman"/>
        </w:rPr>
        <w:t>fine-mapping</w:t>
      </w:r>
      <w:proofErr w:type="gramEnd"/>
      <w:r>
        <w:rPr>
          <w:rFonts w:ascii="Times New Roman" w:hAnsi="Times New Roman" w:cs="Times New Roman"/>
        </w:rPr>
        <w:t xml:space="preserve"> to dissect the potential causal variants driving the observed associations. The P-values from the meta-analysis results, including all four studies, were converted into Bayes' Factors (BF) following the notation of Fuchsberger </w:t>
      </w:r>
      <w:proofErr w:type="gramStart"/>
      <w:r>
        <w:rPr>
          <w:rFonts w:ascii="Times New Roman" w:hAnsi="Times New Roman" w:cs="Times New Roman"/>
        </w:rPr>
        <w:t>et al..</w:t>
      </w:r>
      <w:proofErr w:type="gramEnd"/>
      <w:r>
        <w:rPr>
          <w:rFonts w:ascii="Times New Roman" w:hAnsi="Times New Roman" w:cs="Times New Roman"/>
        </w:rPr>
        <w:t xml:space="preserve">  </w:t>
      </w:r>
    </w:p>
    <w:p w14:paraId="642F48D2" w14:textId="77777777" w:rsidR="009E1008" w:rsidRDefault="009E1008">
      <w:pPr>
        <w:rPr>
          <w:rFonts w:ascii="Times New Roman" w:hAnsi="Times New Roman" w:cs="Times New Roman"/>
        </w:rPr>
      </w:pPr>
    </w:p>
    <w:p w14:paraId="05099F39" w14:textId="77777777" w:rsidR="009E1008" w:rsidRDefault="00000000">
      <w:pPr>
        <w:rPr>
          <w:rFonts w:ascii="Times New Roman" w:hAnsi="Times New Roman" w:cs="Times New Roman"/>
        </w:rPr>
      </w:pPr>
      <w:r>
        <w:rPr>
          <w:rFonts w:ascii="Times New Roman" w:hAnsi="Times New Roman" w:cs="Times New Roman"/>
        </w:rPr>
        <w:t>Posterior probabilities for each BF were calculated by dividing each value by the sum of all BFs within a ±200 kb region of the lead SNP. We further ranked the posterior probabilities from largest to smallest and formed 99% credible sets by summing up the ranked posterior probabilities until the cumulative sum reached 0.99.</w:t>
      </w:r>
    </w:p>
    <w:p w14:paraId="5D2DF5A4" w14:textId="77777777" w:rsidR="009E1008" w:rsidRDefault="009E1008">
      <w:pPr>
        <w:rPr>
          <w:rFonts w:ascii="Times New Roman" w:hAnsi="Times New Roman" w:cs="Times New Roman"/>
        </w:rPr>
      </w:pPr>
    </w:p>
    <w:p w14:paraId="059A5C5E" w14:textId="77777777" w:rsidR="009E1008" w:rsidRDefault="009E1008">
      <w:pPr>
        <w:rPr>
          <w:rFonts w:ascii="Times New Roman" w:hAnsi="Times New Roman" w:cs="Times New Roman"/>
        </w:rPr>
      </w:pPr>
    </w:p>
    <w:p w14:paraId="00A30438" w14:textId="77777777" w:rsidR="009E1008" w:rsidRDefault="009E1008">
      <w:pPr>
        <w:rPr>
          <w:rFonts w:ascii="Times New Roman" w:hAnsi="Times New Roman" w:cs="Times New Roman"/>
        </w:rPr>
      </w:pPr>
    </w:p>
    <w:p w14:paraId="57BF1BFD" w14:textId="77777777" w:rsidR="009E1008" w:rsidRDefault="009E1008">
      <w:pPr>
        <w:rPr>
          <w:rFonts w:ascii="Times New Roman" w:hAnsi="Times New Roman" w:cs="Times New Roman"/>
        </w:rPr>
      </w:pPr>
    </w:p>
    <w:p w14:paraId="2FC5864F" w14:textId="77777777" w:rsidR="009E1008" w:rsidRDefault="009E1008">
      <w:pPr>
        <w:rPr>
          <w:rFonts w:ascii="Times New Roman" w:hAnsi="Times New Roman" w:cs="Times New Roman"/>
        </w:rPr>
      </w:pPr>
    </w:p>
    <w:p w14:paraId="68B68450" w14:textId="77777777" w:rsidR="009E1008" w:rsidRDefault="009E1008">
      <w:pPr>
        <w:rPr>
          <w:rFonts w:ascii="Times New Roman" w:hAnsi="Times New Roman" w:cs="Times New Roman"/>
        </w:rPr>
      </w:pPr>
    </w:p>
    <w:p w14:paraId="09298531" w14:textId="77777777" w:rsidR="009E1008" w:rsidRDefault="009E1008">
      <w:pPr>
        <w:rPr>
          <w:rFonts w:ascii="Times New Roman" w:hAnsi="Times New Roman" w:cs="Times New Roman"/>
        </w:rPr>
      </w:pPr>
    </w:p>
    <w:p w14:paraId="22C707F3" w14:textId="77777777" w:rsidR="009E1008" w:rsidRDefault="009E1008">
      <w:pPr>
        <w:rPr>
          <w:rFonts w:ascii="Times New Roman" w:hAnsi="Times New Roman" w:cs="Times New Roman"/>
        </w:rPr>
      </w:pPr>
    </w:p>
    <w:p w14:paraId="66606473" w14:textId="77777777" w:rsidR="009E1008" w:rsidRDefault="009E1008">
      <w:pPr>
        <w:rPr>
          <w:rFonts w:ascii="Times New Roman" w:hAnsi="Times New Roman" w:cs="Times New Roman"/>
        </w:rPr>
      </w:pPr>
    </w:p>
    <w:p w14:paraId="35FEE487" w14:textId="77777777" w:rsidR="009E1008" w:rsidRDefault="009E1008">
      <w:pPr>
        <w:rPr>
          <w:rFonts w:ascii="Times New Roman" w:hAnsi="Times New Roman" w:cs="Times New Roman"/>
        </w:rPr>
      </w:pPr>
    </w:p>
    <w:p w14:paraId="5D4F7F99" w14:textId="77777777" w:rsidR="009E1008" w:rsidRDefault="009E1008">
      <w:pPr>
        <w:rPr>
          <w:rFonts w:ascii="Times New Roman" w:hAnsi="Times New Roman" w:cs="Times New Roman"/>
        </w:rPr>
      </w:pPr>
    </w:p>
    <w:p w14:paraId="41967FDB" w14:textId="77777777" w:rsidR="009E1008" w:rsidRDefault="009E1008">
      <w:pPr>
        <w:rPr>
          <w:rFonts w:ascii="Times New Roman" w:hAnsi="Times New Roman" w:cs="Times New Roman"/>
        </w:rPr>
      </w:pPr>
    </w:p>
    <w:p w14:paraId="1C0E8E89" w14:textId="77777777" w:rsidR="009E1008" w:rsidRDefault="009E1008">
      <w:pPr>
        <w:rPr>
          <w:rFonts w:ascii="Times New Roman" w:hAnsi="Times New Roman" w:cs="Times New Roman"/>
        </w:rPr>
      </w:pPr>
    </w:p>
    <w:p w14:paraId="3866C142" w14:textId="77777777" w:rsidR="009E1008" w:rsidRDefault="009E1008">
      <w:pPr>
        <w:rPr>
          <w:rFonts w:ascii="Times New Roman" w:hAnsi="Times New Roman" w:cs="Times New Roman"/>
        </w:rPr>
      </w:pPr>
    </w:p>
    <w:p w14:paraId="30F93103" w14:textId="77777777" w:rsidR="009E1008" w:rsidRDefault="009E1008">
      <w:pPr>
        <w:rPr>
          <w:rFonts w:ascii="Times New Roman" w:hAnsi="Times New Roman" w:cs="Times New Roman"/>
        </w:rPr>
      </w:pPr>
    </w:p>
    <w:p w14:paraId="60E5B660" w14:textId="77777777" w:rsidR="009E1008" w:rsidRDefault="009E1008">
      <w:pPr>
        <w:rPr>
          <w:rFonts w:ascii="Times New Roman" w:hAnsi="Times New Roman" w:cs="Times New Roman"/>
        </w:rPr>
      </w:pPr>
    </w:p>
    <w:p w14:paraId="7A0172D9" w14:textId="77777777" w:rsidR="009E1008" w:rsidRDefault="009E1008">
      <w:pPr>
        <w:rPr>
          <w:rFonts w:ascii="Times New Roman" w:hAnsi="Times New Roman" w:cs="Times New Roman"/>
        </w:rPr>
      </w:pPr>
    </w:p>
    <w:p w14:paraId="50187CFC" w14:textId="77777777" w:rsidR="009E1008" w:rsidRDefault="009E1008">
      <w:pPr>
        <w:rPr>
          <w:rFonts w:ascii="Times New Roman" w:hAnsi="Times New Roman" w:cs="Times New Roman"/>
        </w:rPr>
      </w:pPr>
    </w:p>
    <w:p w14:paraId="1F2E6F83" w14:textId="77777777" w:rsidR="009E1008" w:rsidRDefault="009E1008">
      <w:pPr>
        <w:rPr>
          <w:rFonts w:ascii="Times New Roman" w:hAnsi="Times New Roman" w:cs="Times New Roman"/>
        </w:rPr>
      </w:pPr>
    </w:p>
    <w:p w14:paraId="11B3E6BA" w14:textId="77777777" w:rsidR="009E1008" w:rsidRDefault="009E1008">
      <w:pPr>
        <w:rPr>
          <w:rFonts w:ascii="Times New Roman" w:hAnsi="Times New Roman" w:cs="Times New Roman"/>
        </w:rPr>
      </w:pPr>
    </w:p>
    <w:p w14:paraId="75A9D9BE" w14:textId="77777777" w:rsidR="009E1008" w:rsidRDefault="009E1008">
      <w:pPr>
        <w:rPr>
          <w:rFonts w:ascii="Times New Roman" w:hAnsi="Times New Roman" w:cs="Times New Roman"/>
        </w:rPr>
      </w:pPr>
    </w:p>
    <w:p w14:paraId="7FC88A5E" w14:textId="77777777" w:rsidR="009E1008" w:rsidRDefault="009E1008">
      <w:pPr>
        <w:rPr>
          <w:rFonts w:ascii="Times New Roman" w:hAnsi="Times New Roman" w:cs="Times New Roman"/>
        </w:rPr>
      </w:pPr>
    </w:p>
    <w:p w14:paraId="202FF04B" w14:textId="77777777" w:rsidR="009E1008" w:rsidRDefault="009E1008">
      <w:pPr>
        <w:rPr>
          <w:rFonts w:ascii="Times New Roman" w:hAnsi="Times New Roman" w:cs="Times New Roman"/>
        </w:rPr>
      </w:pPr>
    </w:p>
    <w:p w14:paraId="45926985" w14:textId="77777777" w:rsidR="009E1008" w:rsidRDefault="009E1008">
      <w:pPr>
        <w:rPr>
          <w:rFonts w:ascii="Times New Roman" w:hAnsi="Times New Roman" w:cs="Times New Roman"/>
        </w:rPr>
      </w:pPr>
    </w:p>
    <w:p w14:paraId="0B1486BC" w14:textId="77777777" w:rsidR="009E1008" w:rsidRDefault="009E1008">
      <w:pPr>
        <w:rPr>
          <w:rFonts w:ascii="Times New Roman" w:hAnsi="Times New Roman" w:cs="Times New Roman"/>
        </w:rPr>
      </w:pPr>
    </w:p>
    <w:p w14:paraId="64C8B3CB" w14:textId="77777777" w:rsidR="009E1008" w:rsidRDefault="009E1008">
      <w:pPr>
        <w:rPr>
          <w:rFonts w:ascii="Times New Roman" w:hAnsi="Times New Roman" w:cs="Times New Roman"/>
        </w:rPr>
      </w:pPr>
    </w:p>
    <w:p w14:paraId="0EA7B3C2" w14:textId="77777777" w:rsidR="009E1008" w:rsidRDefault="00000000">
      <w:r>
        <w:rPr>
          <w:noProof/>
        </w:rPr>
        <w:drawing>
          <wp:anchor distT="0" distB="0" distL="114300" distR="114300" simplePos="0" relativeHeight="251660288" behindDoc="0" locked="0" layoutInCell="1" allowOverlap="1" wp14:anchorId="23177EFF" wp14:editId="576FCF22">
            <wp:simplePos x="0" y="0"/>
            <wp:positionH relativeFrom="column">
              <wp:posOffset>2364740</wp:posOffset>
            </wp:positionH>
            <wp:positionV relativeFrom="paragraph">
              <wp:posOffset>176530</wp:posOffset>
            </wp:positionV>
            <wp:extent cx="2880360" cy="2160270"/>
            <wp:effectExtent l="0" t="0" r="2540" b="11430"/>
            <wp:wrapNone/>
            <wp:docPr id="2" name="图片 2" descr="forest_plot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orest_plot_2"/>
                    <pic:cNvPicPr>
                      <a:picLocks noChangeAspect="1"/>
                    </pic:cNvPicPr>
                  </pic:nvPicPr>
                  <pic:blipFill>
                    <a:blip r:embed="rId7"/>
                    <a:stretch>
                      <a:fillRect/>
                    </a:stretch>
                  </pic:blipFill>
                  <pic:spPr>
                    <a:xfrm>
                      <a:off x="0" y="0"/>
                      <a:ext cx="2880360" cy="2160270"/>
                    </a:xfrm>
                    <a:prstGeom prst="rect">
                      <a:avLst/>
                    </a:prstGeom>
                  </pic:spPr>
                </pic:pic>
              </a:graphicData>
            </a:graphic>
          </wp:anchor>
        </w:drawing>
      </w:r>
      <w:r>
        <w:rPr>
          <w:noProof/>
        </w:rPr>
        <w:drawing>
          <wp:anchor distT="0" distB="0" distL="114300" distR="114300" simplePos="0" relativeHeight="251659264" behindDoc="0" locked="0" layoutInCell="1" allowOverlap="1" wp14:anchorId="776A24AA" wp14:editId="3E0D7B61">
            <wp:simplePos x="0" y="0"/>
            <wp:positionH relativeFrom="column">
              <wp:posOffset>-669290</wp:posOffset>
            </wp:positionH>
            <wp:positionV relativeFrom="paragraph">
              <wp:posOffset>175895</wp:posOffset>
            </wp:positionV>
            <wp:extent cx="2880360" cy="2160270"/>
            <wp:effectExtent l="0" t="0" r="2540" b="11430"/>
            <wp:wrapNone/>
            <wp:docPr id="743762635" name="图片 1" descr="forest_plo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762635" name="图片 1" descr="forest_plot_1"/>
                    <pic:cNvPicPr>
                      <a:picLocks noChangeAspect="1"/>
                    </pic:cNvPicPr>
                  </pic:nvPicPr>
                  <pic:blipFill>
                    <a:blip r:embed="rId8"/>
                    <a:stretch>
                      <a:fillRect/>
                    </a:stretch>
                  </pic:blipFill>
                  <pic:spPr>
                    <a:xfrm>
                      <a:off x="0" y="0"/>
                      <a:ext cx="2880360" cy="2160270"/>
                    </a:xfrm>
                    <a:prstGeom prst="rect">
                      <a:avLst/>
                    </a:prstGeom>
                  </pic:spPr>
                </pic:pic>
              </a:graphicData>
            </a:graphic>
          </wp:anchor>
        </w:drawing>
      </w:r>
      <w:r>
        <w:rPr>
          <w:rFonts w:hint="eastAsia"/>
        </w:rPr>
        <w:t>a                                             b</w:t>
      </w:r>
    </w:p>
    <w:p w14:paraId="52A7C289" w14:textId="77777777" w:rsidR="009E1008" w:rsidRDefault="009E1008"/>
    <w:p w14:paraId="08DEF04B" w14:textId="77777777" w:rsidR="009E1008" w:rsidRDefault="009E1008"/>
    <w:p w14:paraId="6BB51DA6" w14:textId="77777777" w:rsidR="009E1008" w:rsidRDefault="009E1008"/>
    <w:p w14:paraId="1E3F502F" w14:textId="77777777" w:rsidR="009E1008" w:rsidRDefault="009E1008"/>
    <w:p w14:paraId="7DF3DDAF" w14:textId="77777777" w:rsidR="009E1008" w:rsidRDefault="009E1008"/>
    <w:p w14:paraId="0F8C6EC6" w14:textId="77777777" w:rsidR="009E1008" w:rsidRDefault="009E1008"/>
    <w:p w14:paraId="1982607F" w14:textId="77777777" w:rsidR="009E1008" w:rsidRDefault="009E1008"/>
    <w:p w14:paraId="39BCB550" w14:textId="77777777" w:rsidR="009E1008" w:rsidRDefault="009E1008"/>
    <w:p w14:paraId="17849B5A" w14:textId="77777777" w:rsidR="009E1008" w:rsidRDefault="009E1008"/>
    <w:p w14:paraId="554884A4" w14:textId="77777777" w:rsidR="009E1008" w:rsidRDefault="009E1008"/>
    <w:p w14:paraId="5A156337" w14:textId="77777777" w:rsidR="009E1008" w:rsidRDefault="009E1008"/>
    <w:p w14:paraId="018C1471" w14:textId="77777777" w:rsidR="009E1008" w:rsidRDefault="00000000">
      <w:r>
        <w:rPr>
          <w:rFonts w:hint="eastAsia"/>
        </w:rPr>
        <w:t>c                                             d</w:t>
      </w:r>
    </w:p>
    <w:p w14:paraId="75F8F642" w14:textId="77777777" w:rsidR="009E1008" w:rsidRDefault="00000000">
      <w:r>
        <w:rPr>
          <w:rFonts w:hint="eastAsia"/>
          <w:noProof/>
        </w:rPr>
        <w:drawing>
          <wp:anchor distT="0" distB="0" distL="114300" distR="114300" simplePos="0" relativeHeight="251662336" behindDoc="0" locked="0" layoutInCell="1" allowOverlap="1" wp14:anchorId="26430830" wp14:editId="749DEC01">
            <wp:simplePos x="0" y="0"/>
            <wp:positionH relativeFrom="column">
              <wp:posOffset>2378710</wp:posOffset>
            </wp:positionH>
            <wp:positionV relativeFrom="paragraph">
              <wp:posOffset>21590</wp:posOffset>
            </wp:positionV>
            <wp:extent cx="2880360" cy="2160270"/>
            <wp:effectExtent l="0" t="0" r="2540" b="11430"/>
            <wp:wrapNone/>
            <wp:docPr id="6" name="图片 6" descr="forest_plot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orest_plot_3"/>
                    <pic:cNvPicPr>
                      <a:picLocks noChangeAspect="1"/>
                    </pic:cNvPicPr>
                  </pic:nvPicPr>
                  <pic:blipFill>
                    <a:blip r:embed="rId9"/>
                    <a:stretch>
                      <a:fillRect/>
                    </a:stretch>
                  </pic:blipFill>
                  <pic:spPr>
                    <a:xfrm>
                      <a:off x="0" y="0"/>
                      <a:ext cx="2880360" cy="2160270"/>
                    </a:xfrm>
                    <a:prstGeom prst="rect">
                      <a:avLst/>
                    </a:prstGeom>
                  </pic:spPr>
                </pic:pic>
              </a:graphicData>
            </a:graphic>
          </wp:anchor>
        </w:drawing>
      </w:r>
      <w:r>
        <w:rPr>
          <w:rFonts w:hint="eastAsia"/>
          <w:noProof/>
        </w:rPr>
        <w:drawing>
          <wp:anchor distT="0" distB="0" distL="114300" distR="114300" simplePos="0" relativeHeight="251661312" behindDoc="0" locked="0" layoutInCell="1" allowOverlap="1" wp14:anchorId="6973E902" wp14:editId="1EBEDB4E">
            <wp:simplePos x="0" y="0"/>
            <wp:positionH relativeFrom="column">
              <wp:posOffset>-655955</wp:posOffset>
            </wp:positionH>
            <wp:positionV relativeFrom="paragraph">
              <wp:posOffset>94615</wp:posOffset>
            </wp:positionV>
            <wp:extent cx="2880360" cy="2160270"/>
            <wp:effectExtent l="0" t="0" r="2540" b="11430"/>
            <wp:wrapNone/>
            <wp:docPr id="5" name="图片 5" descr="forest_plot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orest_plot_2"/>
                    <pic:cNvPicPr>
                      <a:picLocks noChangeAspect="1"/>
                    </pic:cNvPicPr>
                  </pic:nvPicPr>
                  <pic:blipFill>
                    <a:blip r:embed="rId10"/>
                    <a:stretch>
                      <a:fillRect/>
                    </a:stretch>
                  </pic:blipFill>
                  <pic:spPr>
                    <a:xfrm>
                      <a:off x="0" y="0"/>
                      <a:ext cx="2880360" cy="2160270"/>
                    </a:xfrm>
                    <a:prstGeom prst="rect">
                      <a:avLst/>
                    </a:prstGeom>
                  </pic:spPr>
                </pic:pic>
              </a:graphicData>
            </a:graphic>
          </wp:anchor>
        </w:drawing>
      </w:r>
    </w:p>
    <w:p w14:paraId="6B0C3F8E" w14:textId="77777777" w:rsidR="009E1008" w:rsidRDefault="009E1008"/>
    <w:p w14:paraId="4FEF2073" w14:textId="77777777" w:rsidR="009E1008" w:rsidRDefault="009E1008"/>
    <w:p w14:paraId="23BCAAFB" w14:textId="77777777" w:rsidR="009E1008" w:rsidRDefault="009E1008"/>
    <w:p w14:paraId="17F81270" w14:textId="77777777" w:rsidR="009E1008" w:rsidRDefault="009E1008">
      <w:pPr>
        <w:ind w:firstLine="291"/>
        <w:jc w:val="left"/>
      </w:pPr>
    </w:p>
    <w:p w14:paraId="22E80F75" w14:textId="77777777" w:rsidR="009E1008" w:rsidRDefault="009E1008"/>
    <w:p w14:paraId="3BA5BAE5" w14:textId="77777777" w:rsidR="009E1008" w:rsidRDefault="009E1008"/>
    <w:p w14:paraId="5FFFB04A" w14:textId="77777777" w:rsidR="009E1008" w:rsidRDefault="009E1008"/>
    <w:p w14:paraId="6F1B0390" w14:textId="77777777" w:rsidR="009E1008" w:rsidRDefault="009E1008"/>
    <w:p w14:paraId="7A648EBD" w14:textId="77777777" w:rsidR="009E1008" w:rsidRDefault="009E1008"/>
    <w:p w14:paraId="7EC4EA5C" w14:textId="77777777" w:rsidR="009E1008" w:rsidRDefault="009E1008"/>
    <w:p w14:paraId="635FB572" w14:textId="77777777" w:rsidR="009E1008" w:rsidRDefault="009E1008"/>
    <w:p w14:paraId="69C0B126" w14:textId="77777777" w:rsidR="009E1008" w:rsidRDefault="00000000">
      <w:r>
        <w:rPr>
          <w:rFonts w:hint="eastAsia"/>
        </w:rPr>
        <w:t>e                                             f</w:t>
      </w:r>
    </w:p>
    <w:p w14:paraId="2058FDBC" w14:textId="77777777" w:rsidR="009E1008" w:rsidRDefault="00000000">
      <w:r>
        <w:rPr>
          <w:rFonts w:hint="eastAsia"/>
          <w:noProof/>
        </w:rPr>
        <w:drawing>
          <wp:anchor distT="0" distB="0" distL="114300" distR="114300" simplePos="0" relativeHeight="251664384" behindDoc="0" locked="0" layoutInCell="1" allowOverlap="1" wp14:anchorId="1AEFF031" wp14:editId="01DE4BC4">
            <wp:simplePos x="0" y="0"/>
            <wp:positionH relativeFrom="column">
              <wp:posOffset>2390775</wp:posOffset>
            </wp:positionH>
            <wp:positionV relativeFrom="paragraph">
              <wp:posOffset>65405</wp:posOffset>
            </wp:positionV>
            <wp:extent cx="2880360" cy="2160270"/>
            <wp:effectExtent l="0" t="0" r="2540" b="11430"/>
            <wp:wrapNone/>
            <wp:docPr id="9" name="图片 9" descr="forest_plo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orest_plot_1"/>
                    <pic:cNvPicPr>
                      <a:picLocks noChangeAspect="1"/>
                    </pic:cNvPicPr>
                  </pic:nvPicPr>
                  <pic:blipFill>
                    <a:blip r:embed="rId11"/>
                    <a:stretch>
                      <a:fillRect/>
                    </a:stretch>
                  </pic:blipFill>
                  <pic:spPr>
                    <a:xfrm>
                      <a:off x="0" y="0"/>
                      <a:ext cx="2880360" cy="2160270"/>
                    </a:xfrm>
                    <a:prstGeom prst="rect">
                      <a:avLst/>
                    </a:prstGeom>
                  </pic:spPr>
                </pic:pic>
              </a:graphicData>
            </a:graphic>
          </wp:anchor>
        </w:drawing>
      </w:r>
      <w:r>
        <w:rPr>
          <w:rFonts w:hint="eastAsia"/>
          <w:noProof/>
        </w:rPr>
        <w:drawing>
          <wp:anchor distT="0" distB="0" distL="114300" distR="114300" simplePos="0" relativeHeight="251663360" behindDoc="0" locked="0" layoutInCell="1" allowOverlap="1" wp14:anchorId="480D4803" wp14:editId="40908292">
            <wp:simplePos x="0" y="0"/>
            <wp:positionH relativeFrom="column">
              <wp:posOffset>-679450</wp:posOffset>
            </wp:positionH>
            <wp:positionV relativeFrom="paragraph">
              <wp:posOffset>85090</wp:posOffset>
            </wp:positionV>
            <wp:extent cx="2880360" cy="2160270"/>
            <wp:effectExtent l="0" t="0" r="2540" b="11430"/>
            <wp:wrapNone/>
            <wp:docPr id="7" name="图片 7" descr="forest_plo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orest_plot_1"/>
                    <pic:cNvPicPr>
                      <a:picLocks noChangeAspect="1"/>
                    </pic:cNvPicPr>
                  </pic:nvPicPr>
                  <pic:blipFill>
                    <a:blip r:embed="rId11"/>
                    <a:stretch>
                      <a:fillRect/>
                    </a:stretch>
                  </pic:blipFill>
                  <pic:spPr>
                    <a:xfrm>
                      <a:off x="0" y="0"/>
                      <a:ext cx="2880360" cy="2160270"/>
                    </a:xfrm>
                    <a:prstGeom prst="rect">
                      <a:avLst/>
                    </a:prstGeom>
                  </pic:spPr>
                </pic:pic>
              </a:graphicData>
            </a:graphic>
          </wp:anchor>
        </w:drawing>
      </w:r>
    </w:p>
    <w:p w14:paraId="110AE39A" w14:textId="77777777" w:rsidR="009E1008" w:rsidRDefault="009E1008"/>
    <w:p w14:paraId="69CA374D" w14:textId="77777777" w:rsidR="009E1008" w:rsidRDefault="009E1008">
      <w:pPr>
        <w:ind w:firstLine="239"/>
        <w:jc w:val="left"/>
      </w:pPr>
    </w:p>
    <w:p w14:paraId="0DB87332" w14:textId="77777777" w:rsidR="009E1008" w:rsidRDefault="009E1008"/>
    <w:p w14:paraId="7828000E" w14:textId="77777777" w:rsidR="009E1008" w:rsidRDefault="009E1008"/>
    <w:p w14:paraId="31971073" w14:textId="77777777" w:rsidR="009E1008" w:rsidRDefault="009E1008"/>
    <w:p w14:paraId="0B5ECCE5" w14:textId="77777777" w:rsidR="009E1008" w:rsidRDefault="009E1008"/>
    <w:p w14:paraId="4EE71ABF" w14:textId="77777777" w:rsidR="009E1008" w:rsidRDefault="009E1008"/>
    <w:p w14:paraId="12F9FC03" w14:textId="77777777" w:rsidR="009E1008" w:rsidRDefault="009E1008"/>
    <w:p w14:paraId="1B45C4C7" w14:textId="77777777" w:rsidR="009E1008" w:rsidRDefault="009E1008"/>
    <w:p w14:paraId="5E9AB6EB" w14:textId="77777777" w:rsidR="009E1008" w:rsidRDefault="009E1008"/>
    <w:p w14:paraId="70685126" w14:textId="77777777" w:rsidR="009E1008" w:rsidRDefault="009E1008"/>
    <w:p w14:paraId="6CFE21B4" w14:textId="77777777" w:rsidR="009E1008" w:rsidRDefault="009E1008">
      <w:pPr>
        <w:rPr>
          <w:rFonts w:ascii="Times New Roman" w:hAnsi="Times New Roman" w:cs="Times New Roman"/>
          <w:b/>
          <w:bCs/>
        </w:rPr>
      </w:pPr>
    </w:p>
    <w:p w14:paraId="6C5FDCD1" w14:textId="77777777" w:rsidR="009E1008" w:rsidRDefault="00000000">
      <w:pPr>
        <w:jc w:val="left"/>
        <w:rPr>
          <w:rFonts w:ascii="Times New Roman" w:hAnsi="Times New Roman" w:cs="Times New Roman"/>
          <w:b/>
          <w:bCs/>
        </w:rPr>
      </w:pPr>
      <w:r>
        <w:rPr>
          <w:rFonts w:ascii="Times New Roman" w:hAnsi="Times New Roman" w:cs="Times New Roman"/>
          <w:b/>
          <w:bCs/>
        </w:rPr>
        <w:t>Figure S1: Standardized Forest Plots for Six Positive Results</w:t>
      </w:r>
    </w:p>
    <w:p w14:paraId="4B53408E" w14:textId="77777777" w:rsidR="009E1008" w:rsidRDefault="00000000">
      <w:pPr>
        <w:jc w:val="left"/>
        <w:rPr>
          <w:rFonts w:ascii="Times New Roman" w:hAnsi="Times New Roman" w:cs="Times New Roman"/>
          <w:b/>
          <w:bCs/>
        </w:rPr>
      </w:pPr>
      <w:r>
        <w:rPr>
          <w:rFonts w:ascii="Times New Roman" w:hAnsi="Times New Roman" w:cs="Times New Roman" w:hint="eastAsia"/>
          <w:b/>
          <w:bCs/>
        </w:rPr>
        <w:t>a: PH - OSA; b: PH-</w:t>
      </w:r>
      <w:proofErr w:type="gramStart"/>
      <w:r>
        <w:rPr>
          <w:rFonts w:ascii="Times New Roman" w:hAnsi="Times New Roman" w:cs="Times New Roman" w:hint="eastAsia"/>
          <w:b/>
          <w:bCs/>
        </w:rPr>
        <w:t>Sleep disorders</w:t>
      </w:r>
      <w:proofErr w:type="gramEnd"/>
      <w:r>
        <w:rPr>
          <w:rFonts w:ascii="Times New Roman" w:hAnsi="Times New Roman" w:cs="Times New Roman" w:hint="eastAsia"/>
          <w:b/>
          <w:bCs/>
        </w:rPr>
        <w:t>; c: PH -Total brain; d: PH - Cerebral white matter; e: Amygdala -OSA; f: Amygdala -Sleep disorders.</w:t>
      </w:r>
    </w:p>
    <w:sectPr w:rsidR="009E1008">
      <w:footerReference w:type="even" r:id="rId12"/>
      <w:footerReference w:type="default" r:id="rId13"/>
      <w:footerReference w:type="first" r:id="rId14"/>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CAB9" w14:textId="77777777" w:rsidR="00706C96" w:rsidRDefault="00706C96">
      <w:r>
        <w:separator/>
      </w:r>
    </w:p>
  </w:endnote>
  <w:endnote w:type="continuationSeparator" w:id="0">
    <w:p w14:paraId="686A5338" w14:textId="77777777" w:rsidR="00706C96" w:rsidRDefault="0070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19E5" w14:textId="77777777" w:rsidR="009E1008" w:rsidRDefault="00000000">
    <w:pPr>
      <w:pStyle w:val="Footer"/>
    </w:pPr>
    <w:r>
      <w:rPr>
        <w:noProof/>
      </w:rPr>
      <mc:AlternateContent>
        <mc:Choice Requires="wps">
          <w:drawing>
            <wp:anchor distT="0" distB="0" distL="0" distR="0" simplePos="0" relativeHeight="251661312" behindDoc="0" locked="0" layoutInCell="1" allowOverlap="1" wp14:anchorId="02EDDF9A" wp14:editId="7AA7D223">
              <wp:simplePos x="0" y="0"/>
              <wp:positionH relativeFrom="page">
                <wp:align>left</wp:align>
              </wp:positionH>
              <wp:positionV relativeFrom="page">
                <wp:align>bottom</wp:align>
              </wp:positionV>
              <wp:extent cx="2077085" cy="324485"/>
              <wp:effectExtent l="0" t="0" r="18415" b="0"/>
              <wp:wrapNone/>
              <wp:docPr id="1837502388" name="Text Box 3" descr="Information Classification: General"/>
              <wp:cNvGraphicFramePr/>
              <a:graphic xmlns:a="http://schemas.openxmlformats.org/drawingml/2006/main">
                <a:graphicData uri="http://schemas.microsoft.com/office/word/2010/wordprocessingShape">
                  <wps:wsp>
                    <wps:cNvSpPr txBox="1"/>
                    <wps:spPr>
                      <a:xfrm>
                        <a:off x="0" y="0"/>
                        <a:ext cx="2077085" cy="324485"/>
                      </a:xfrm>
                      <a:prstGeom prst="rect">
                        <a:avLst/>
                      </a:prstGeom>
                      <a:noFill/>
                      <a:ln>
                        <a:noFill/>
                      </a:ln>
                    </wps:spPr>
                    <wps:txbx>
                      <w:txbxContent>
                        <w:p w14:paraId="79C674B7" w14:textId="77777777" w:rsidR="009E1008" w:rsidRDefault="00000000">
                          <w:pPr>
                            <w:rPr>
                              <w:rFonts w:ascii="Rockwell" w:eastAsia="Rockwell" w:hAnsi="Rockwell" w:cs="Rockwell"/>
                              <w:color w:val="0078D7"/>
                              <w:sz w:val="18"/>
                              <w:szCs w:val="18"/>
                            </w:rPr>
                          </w:pPr>
                          <w:r>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2EDDF9A" id="_x0000_t202" coordsize="21600,21600" o:spt="202" path="m,l,21600r21600,l21600,xe">
              <v:stroke joinstyle="miter"/>
              <v:path gradientshapeok="t" o:connecttype="rect"/>
            </v:shapetype>
            <v:shape id="Text Box 3" o:spid="_x0000_s1026" type="#_x0000_t202" alt="Information Classification: General" style="position:absolute;margin-left:0;margin-top:0;width:163.55pt;height:25.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" filled="f" stroked="f">
              <v:textbox style="mso-fit-shape-to-text:t" inset="20pt,0,0,15pt">
                <w:txbxContent>
                  <w:p w14:paraId="79C674B7" w14:textId="77777777" w:rsidR="009E1008" w:rsidRDefault="00000000">
                    <w:pPr>
                      <w:rPr>
                        <w:rFonts w:ascii="Rockwell" w:eastAsia="Rockwell" w:hAnsi="Rockwell" w:cs="Rockwell"/>
                        <w:color w:val="0078D7"/>
                        <w:sz w:val="18"/>
                        <w:szCs w:val="18"/>
                      </w:rPr>
                    </w:pPr>
                    <w:r>
                      <w:rPr>
                        <w:rFonts w:ascii="Rockwell" w:eastAsia="Rockwell" w:hAnsi="Rockwell" w:cs="Rockwell"/>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F5979" w14:textId="77777777" w:rsidR="009E1008" w:rsidRDefault="00000000">
    <w:pPr>
      <w:pStyle w:val="Footer"/>
    </w:pPr>
    <w:r>
      <w:rPr>
        <w:noProof/>
      </w:rPr>
      <mc:AlternateContent>
        <mc:Choice Requires="wps">
          <w:drawing>
            <wp:anchor distT="0" distB="0" distL="0" distR="0" simplePos="0" relativeHeight="251662336" behindDoc="0" locked="0" layoutInCell="1" allowOverlap="1" wp14:anchorId="13357597" wp14:editId="04ECE96A">
              <wp:simplePos x="0" y="0"/>
              <wp:positionH relativeFrom="page">
                <wp:align>left</wp:align>
              </wp:positionH>
              <wp:positionV relativeFrom="page">
                <wp:align>bottom</wp:align>
              </wp:positionV>
              <wp:extent cx="2077085" cy="324485"/>
              <wp:effectExtent l="0" t="0" r="18415" b="0"/>
              <wp:wrapNone/>
              <wp:docPr id="1198519123" name="Text Box 4" descr="Information Classification: General"/>
              <wp:cNvGraphicFramePr/>
              <a:graphic xmlns:a="http://schemas.openxmlformats.org/drawingml/2006/main">
                <a:graphicData uri="http://schemas.microsoft.com/office/word/2010/wordprocessingShape">
                  <wps:wsp>
                    <wps:cNvSpPr txBox="1"/>
                    <wps:spPr>
                      <a:xfrm>
                        <a:off x="0" y="0"/>
                        <a:ext cx="2077085" cy="324485"/>
                      </a:xfrm>
                      <a:prstGeom prst="rect">
                        <a:avLst/>
                      </a:prstGeom>
                      <a:noFill/>
                      <a:ln>
                        <a:noFill/>
                      </a:ln>
                    </wps:spPr>
                    <wps:txbx>
                      <w:txbxContent>
                        <w:p w14:paraId="28C08E0D" w14:textId="77777777" w:rsidR="009E1008" w:rsidRDefault="00000000">
                          <w:pPr>
                            <w:rPr>
                              <w:rFonts w:ascii="Rockwell" w:eastAsia="Rockwell" w:hAnsi="Rockwell" w:cs="Rockwell"/>
                              <w:color w:val="0078D7"/>
                              <w:sz w:val="18"/>
                              <w:szCs w:val="18"/>
                            </w:rPr>
                          </w:pPr>
                          <w:r>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3357597" id="_x0000_t202" coordsize="21600,21600" o:spt="202" path="m,l,21600r21600,l21600,xe">
              <v:stroke joinstyle="miter"/>
              <v:path gradientshapeok="t" o:connecttype="rect"/>
            </v:shapetype>
            <v:shape id="Text Box 4" o:spid="_x0000_s1027" type="#_x0000_t202" alt="Information Classification: General" style="position:absolute;margin-left:0;margin-top:0;width:163.55pt;height:25.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" filled="f" stroked="f">
              <v:textbox style="mso-fit-shape-to-text:t" inset="20pt,0,0,15pt">
                <w:txbxContent>
                  <w:p w14:paraId="28C08E0D" w14:textId="77777777" w:rsidR="009E1008" w:rsidRDefault="00000000">
                    <w:pPr>
                      <w:rPr>
                        <w:rFonts w:ascii="Rockwell" w:eastAsia="Rockwell" w:hAnsi="Rockwell" w:cs="Rockwell"/>
                        <w:color w:val="0078D7"/>
                        <w:sz w:val="18"/>
                        <w:szCs w:val="18"/>
                      </w:rPr>
                    </w:pPr>
                    <w:r>
                      <w:rPr>
                        <w:rFonts w:ascii="Rockwell" w:eastAsia="Rockwell" w:hAnsi="Rockwell" w:cs="Rockwell"/>
                        <w:color w:val="0078D7"/>
                        <w:sz w:val="18"/>
                        <w:szCs w:val="18"/>
                      </w:rPr>
                      <w:t>Information Classification: General</w:t>
                    </w:r>
                  </w:p>
                </w:txbxContent>
              </v:textbox>
              <w10:wrap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0FC34CE5" wp14:editId="5269A84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BBACBA" w14:textId="77777777" w:rsidR="009E1008" w:rsidRDefault="00000000">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w14:anchorId="0FC34CE5" id="文本框 1" o:spid="_x0000_s1028"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48BBACBA" w14:textId="77777777" w:rsidR="009E1008" w:rsidRDefault="00000000">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3EFE6" w14:textId="77777777" w:rsidR="009E1008" w:rsidRDefault="00000000">
    <w:pPr>
      <w:pStyle w:val="Footer"/>
    </w:pPr>
    <w:r>
      <w:rPr>
        <w:noProof/>
      </w:rPr>
      <mc:AlternateContent>
        <mc:Choice Requires="wps">
          <w:drawing>
            <wp:anchor distT="0" distB="0" distL="0" distR="0" simplePos="0" relativeHeight="251660288" behindDoc="0" locked="0" layoutInCell="1" allowOverlap="1" wp14:anchorId="3A6AC49A" wp14:editId="2D0522FC">
              <wp:simplePos x="0" y="0"/>
              <wp:positionH relativeFrom="page">
                <wp:align>left</wp:align>
              </wp:positionH>
              <wp:positionV relativeFrom="page">
                <wp:align>bottom</wp:align>
              </wp:positionV>
              <wp:extent cx="2077085" cy="324485"/>
              <wp:effectExtent l="0" t="0" r="18415" b="0"/>
              <wp:wrapNone/>
              <wp:docPr id="824229932" name="Text Box 2" descr="Information Classification: General"/>
              <wp:cNvGraphicFramePr/>
              <a:graphic xmlns:a="http://schemas.openxmlformats.org/drawingml/2006/main">
                <a:graphicData uri="http://schemas.microsoft.com/office/word/2010/wordprocessingShape">
                  <wps:wsp>
                    <wps:cNvSpPr txBox="1"/>
                    <wps:spPr>
                      <a:xfrm>
                        <a:off x="0" y="0"/>
                        <a:ext cx="2077085" cy="324485"/>
                      </a:xfrm>
                      <a:prstGeom prst="rect">
                        <a:avLst/>
                      </a:prstGeom>
                      <a:noFill/>
                      <a:ln>
                        <a:noFill/>
                      </a:ln>
                    </wps:spPr>
                    <wps:txbx>
                      <w:txbxContent>
                        <w:p w14:paraId="24C07F04" w14:textId="77777777" w:rsidR="009E1008" w:rsidRDefault="00000000">
                          <w:pPr>
                            <w:rPr>
                              <w:rFonts w:ascii="Rockwell" w:eastAsia="Rockwell" w:hAnsi="Rockwell" w:cs="Rockwell"/>
                              <w:color w:val="0078D7"/>
                              <w:sz w:val="18"/>
                              <w:szCs w:val="18"/>
                            </w:rPr>
                          </w:pPr>
                          <w:r>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A6AC49A" id="_x0000_t202" coordsize="21600,21600" o:spt="202" path="m,l,21600r21600,l21600,xe">
              <v:stroke joinstyle="miter"/>
              <v:path gradientshapeok="t" o:connecttype="rect"/>
            </v:shapetype>
            <v:shape id="Text Box 2" o:spid="_x0000_s1029" type="#_x0000_t202" alt="Information Classification: General" style="position:absolute;margin-left:0;margin-top:0;width:163.55pt;height:25.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" filled="f" stroked="f">
              <v:textbox style="mso-fit-shape-to-text:t" inset="20pt,0,0,15pt">
                <w:txbxContent>
                  <w:p w14:paraId="24C07F04" w14:textId="77777777" w:rsidR="009E1008" w:rsidRDefault="00000000">
                    <w:pPr>
                      <w:rPr>
                        <w:rFonts w:ascii="Rockwell" w:eastAsia="Rockwell" w:hAnsi="Rockwell" w:cs="Rockwell"/>
                        <w:color w:val="0078D7"/>
                        <w:sz w:val="18"/>
                        <w:szCs w:val="18"/>
                      </w:rPr>
                    </w:pPr>
                    <w:r>
                      <w:rPr>
                        <w:rFonts w:ascii="Rockwell" w:eastAsia="Rockwell" w:hAnsi="Rockwell" w:cs="Rockwell"/>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0AD50" w14:textId="77777777" w:rsidR="00706C96" w:rsidRDefault="00706C96">
      <w:r>
        <w:separator/>
      </w:r>
    </w:p>
  </w:footnote>
  <w:footnote w:type="continuationSeparator" w:id="0">
    <w:p w14:paraId="5F80327B" w14:textId="77777777" w:rsidR="00706C96" w:rsidRDefault="00706C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1FF138B"/>
    <w:rsid w:val="00253E97"/>
    <w:rsid w:val="0056593F"/>
    <w:rsid w:val="005E22E5"/>
    <w:rsid w:val="00706C96"/>
    <w:rsid w:val="007D050C"/>
    <w:rsid w:val="008F0035"/>
    <w:rsid w:val="009E1008"/>
    <w:rsid w:val="009E31A5"/>
    <w:rsid w:val="009F3BBC"/>
    <w:rsid w:val="00B63D55"/>
    <w:rsid w:val="00DA2439"/>
    <w:rsid w:val="00E41CFD"/>
    <w:rsid w:val="00F86E76"/>
    <w:rsid w:val="0A6E1714"/>
    <w:rsid w:val="0C8A2C23"/>
    <w:rsid w:val="12AE34DB"/>
    <w:rsid w:val="20EE50D7"/>
    <w:rsid w:val="28E31299"/>
    <w:rsid w:val="2D9E48E8"/>
    <w:rsid w:val="408A49C4"/>
    <w:rsid w:val="434D1CD9"/>
    <w:rsid w:val="4876582E"/>
    <w:rsid w:val="51FF138B"/>
    <w:rsid w:val="55760C1C"/>
    <w:rsid w:val="69CE2946"/>
    <w:rsid w:val="6AFF7348"/>
    <w:rsid w:val="748E0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263EFF71-4009-4BAB-A9F4-7E83B190D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rPr>
      <w:sz w:val="20"/>
      <w:szCs w:val="20"/>
    </w:r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CommentSubject">
    <w:name w:val="annotation subject"/>
    <w:basedOn w:val="CommentText"/>
    <w:next w:val="CommentText"/>
    <w:link w:val="CommentSubjectChar"/>
    <w:rPr>
      <w:b/>
      <w:bCs/>
    </w:rPr>
  </w:style>
  <w:style w:type="character" w:styleId="LineNumber">
    <w:name w:val="line number"/>
    <w:basedOn w:val="DefaultParagraphFont"/>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link w:val="CommentText"/>
    <w:rPr>
      <w:kern w:val="2"/>
      <w:lang w:val="en-US" w:eastAsia="zh-CN"/>
    </w:rPr>
  </w:style>
  <w:style w:type="character" w:customStyle="1" w:styleId="CommentSubjectChar">
    <w:name w:val="Comment Subject Char"/>
    <w:basedOn w:val="CommentTextChar"/>
    <w:link w:val="CommentSubject"/>
    <w:rPr>
      <w:b/>
      <w:bCs/>
      <w:kern w:val="2"/>
      <w:lang w:val="en-US" w:eastAsia="zh-CN"/>
    </w:rPr>
  </w:style>
  <w:style w:type="paragraph" w:customStyle="1" w:styleId="Revision1">
    <w:name w:val="Revision1"/>
    <w:hidden/>
    <w:uiPriority w:val="99"/>
    <w:unhideWhenUsed/>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2369</Words>
  <Characters>13504</Characters>
  <Application>Microsoft Office Word</Application>
  <DocSecurity>0</DocSecurity>
  <Lines>112</Lines>
  <Paragraphs>31</Paragraphs>
  <ScaleCrop>false</ScaleCrop>
  <Company/>
  <LinksUpToDate>false</LinksUpToDate>
  <CharactersWithSpaces>15842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Yiwei Shi</dc:creator>
  <cp:lastModifiedBy>Shaw, Grace</cp:lastModifiedBy>
  <cp:revision>3</cp:revision>
  <dcterms:created xsi:type="dcterms:W3CDTF">2025-02-10T04:03:00Z</dcterms:created>
  <dcterms:modified xsi:type="dcterms:W3CDTF">2025-02-10T04:05:00Z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F1765AB4C2894B73B232E8E93822AB49_13</vt:lpwstr>
  </property>
  <property fmtid="{D5CDD505-2E9C-101B-9397-08002B2CF9AE}" pid="4" name="KSOTemplateDocerSaveRecord">
    <vt:lpwstr>eyJoZGlkIjoiMmZmZWEwYTJiY2UyYWY1MTQ1YWQ0YjgwNjk5YTg3Y2UiLCJ1c2VySWQiOiI0MDc1MjYxMDAifQ==</vt:lpwstr>
  </property>
  <property fmtid="{D5CDD505-2E9C-101B-9397-08002B2CF9AE}" pid="5" name="ClassificationContentMarkingFooterShapeIds">
    <vt:lpwstr>3120c02c,6d860fb4,476ff353</vt:lpwstr>
  </property>
  <property fmtid="{D5CDD505-2E9C-101B-9397-08002B2CF9AE}" pid="6" name="ClassificationContentMarkingFooterFontProps">
    <vt:lpwstr>#0078d7,9,Rockwell</vt:lpwstr>
  </property>
  <property fmtid="{D5CDD505-2E9C-101B-9397-08002B2CF9AE}" pid="7" name="ClassificationContentMarkingFooterText">
    <vt:lpwstr>Information Classification: General</vt:lpwstr>
  </property>
  <property fmtid="{D5CDD505-2E9C-101B-9397-08002B2CF9AE}" pid="8" name="MSIP_Label_2bbab825-a111-45e4-86a1-18cee0005896_Enabled">
    <vt:lpwstr>true</vt:lpwstr>
  </property>
  <property fmtid="{D5CDD505-2E9C-101B-9397-08002B2CF9AE}" pid="9" name="MSIP_Label_2bbab825-a111-45e4-86a1-18cee0005896_SetDate">
    <vt:lpwstr>2025-02-07T03:51:54Z</vt:lpwstr>
  </property>
  <property fmtid="{D5CDD505-2E9C-101B-9397-08002B2CF9AE}" pid="10" name="MSIP_Label_2bbab825-a111-45e4-86a1-18cee0005896_Method">
    <vt:lpwstr>Standard</vt:lpwstr>
  </property>
  <property fmtid="{D5CDD505-2E9C-101B-9397-08002B2CF9AE}" pid="11" name="MSIP_Label_2bbab825-a111-45e4-86a1-18cee0005896_Name">
    <vt:lpwstr>2bbab825-a111-45e4-86a1-18cee0005896</vt:lpwstr>
  </property>
  <property fmtid="{D5CDD505-2E9C-101B-9397-08002B2CF9AE}" pid="12" name="MSIP_Label_2bbab825-a111-45e4-86a1-18cee0005896_SiteId">
    <vt:lpwstr>2567d566-604c-408a-8a60-55d0dc9d9d6b</vt:lpwstr>
  </property>
  <property fmtid="{D5CDD505-2E9C-101B-9397-08002B2CF9AE}" pid="13" name="MSIP_Label_2bbab825-a111-45e4-86a1-18cee0005896_ActionId">
    <vt:lpwstr>49ef0a43-2303-46af-9e01-8fdc2ce0e6a3</vt:lpwstr>
  </property>
  <property fmtid="{D5CDD505-2E9C-101B-9397-08002B2CF9AE}" pid="14" name="MSIP_Label_2bbab825-a111-45e4-86a1-18cee0005896_ContentBits">
    <vt:lpwstr>2</vt:lpwstr>
  </property>
</Properties>
</file>